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2E" w:rsidRPr="006A4446" w:rsidRDefault="006A4446" w:rsidP="006A4446">
      <w:pPr>
        <w:spacing w:after="0"/>
        <w:jc w:val="center"/>
        <w:rPr>
          <w:rFonts w:ascii="Times New Roman" w:hAnsi="Times New Roman" w:cs="Times New Roman"/>
          <w:b/>
          <w:sz w:val="24"/>
          <w:szCs w:val="24"/>
        </w:rPr>
      </w:pPr>
      <w:r w:rsidRPr="006A4446">
        <w:rPr>
          <w:rFonts w:ascii="Times New Roman" w:hAnsi="Times New Roman" w:cs="Times New Roman"/>
          <w:b/>
          <w:sz w:val="24"/>
          <w:szCs w:val="24"/>
        </w:rPr>
        <w:t>PROJETO DE LEI COMPLEMENTAR N°</w:t>
      </w:r>
      <w:r>
        <w:rPr>
          <w:rFonts w:ascii="Times New Roman" w:hAnsi="Times New Roman" w:cs="Times New Roman"/>
          <w:b/>
          <w:sz w:val="24"/>
          <w:szCs w:val="24"/>
        </w:rPr>
        <w:t xml:space="preserve"> </w:t>
      </w:r>
      <w:r w:rsidR="006666B4">
        <w:rPr>
          <w:rFonts w:ascii="Times New Roman" w:hAnsi="Times New Roman" w:cs="Times New Roman"/>
          <w:b/>
          <w:sz w:val="24"/>
          <w:szCs w:val="24"/>
        </w:rPr>
        <w:t>0</w:t>
      </w:r>
      <w:r w:rsidRPr="006A4446">
        <w:rPr>
          <w:rFonts w:ascii="Times New Roman" w:hAnsi="Times New Roman" w:cs="Times New Roman"/>
          <w:b/>
          <w:sz w:val="24"/>
          <w:szCs w:val="24"/>
        </w:rPr>
        <w:t>0</w:t>
      </w:r>
      <w:r w:rsidR="006666B4">
        <w:rPr>
          <w:rFonts w:ascii="Times New Roman" w:hAnsi="Times New Roman" w:cs="Times New Roman"/>
          <w:b/>
          <w:sz w:val="24"/>
          <w:szCs w:val="24"/>
        </w:rPr>
        <w:t>5</w:t>
      </w:r>
      <w:r>
        <w:rPr>
          <w:rFonts w:ascii="Times New Roman" w:hAnsi="Times New Roman" w:cs="Times New Roman"/>
          <w:b/>
          <w:sz w:val="24"/>
          <w:szCs w:val="24"/>
        </w:rPr>
        <w:t>, DE 08 DE ABRIL DE 2019</w:t>
      </w:r>
      <w:r w:rsidRPr="006A4446">
        <w:rPr>
          <w:rFonts w:ascii="Times New Roman" w:hAnsi="Times New Roman" w:cs="Times New Roman"/>
          <w:b/>
          <w:sz w:val="24"/>
          <w:szCs w:val="24"/>
        </w:rPr>
        <w:t>.</w:t>
      </w:r>
      <w:bookmarkStart w:id="0" w:name="_GoBack"/>
      <w:bookmarkEnd w:id="0"/>
    </w:p>
    <w:p w:rsidR="00A75EB1" w:rsidRPr="004D0A82" w:rsidRDefault="00A75EB1" w:rsidP="00A75EB1">
      <w:pPr>
        <w:jc w:val="center"/>
        <w:rPr>
          <w:rFonts w:ascii="Times New Roman" w:hAnsi="Times New Roman" w:cs="Times New Roman"/>
          <w:sz w:val="24"/>
          <w:szCs w:val="24"/>
        </w:rPr>
      </w:pPr>
    </w:p>
    <w:p w:rsidR="00706402" w:rsidRDefault="00A33D8B" w:rsidP="00A75EB1">
      <w:pPr>
        <w:ind w:left="3402"/>
        <w:jc w:val="both"/>
        <w:rPr>
          <w:rFonts w:ascii="Times New Roman" w:hAnsi="Times New Roman" w:cs="Times New Roman"/>
          <w:bCs/>
          <w:i/>
          <w:sz w:val="24"/>
          <w:szCs w:val="24"/>
        </w:rPr>
      </w:pPr>
      <w:r w:rsidRPr="006A4446">
        <w:rPr>
          <w:rFonts w:ascii="Times New Roman" w:hAnsi="Times New Roman" w:cs="Times New Roman"/>
          <w:bCs/>
          <w:i/>
          <w:sz w:val="24"/>
          <w:szCs w:val="24"/>
        </w:rPr>
        <w:t xml:space="preserve">Altera </w:t>
      </w:r>
      <w:r w:rsidR="00943048" w:rsidRPr="006A4446">
        <w:rPr>
          <w:rFonts w:ascii="Times New Roman" w:hAnsi="Times New Roman" w:cs="Times New Roman"/>
          <w:bCs/>
          <w:i/>
          <w:sz w:val="24"/>
          <w:szCs w:val="24"/>
        </w:rPr>
        <w:t xml:space="preserve">itens das Tabelas II e IV, </w:t>
      </w:r>
      <w:r w:rsidR="00E12C5D" w:rsidRPr="006A4446">
        <w:rPr>
          <w:rFonts w:ascii="Times New Roman" w:hAnsi="Times New Roman" w:cs="Times New Roman"/>
          <w:bCs/>
          <w:i/>
          <w:sz w:val="24"/>
          <w:szCs w:val="24"/>
        </w:rPr>
        <w:t xml:space="preserve">o </w:t>
      </w:r>
      <w:r w:rsidR="00943048" w:rsidRPr="006A4446">
        <w:rPr>
          <w:rFonts w:ascii="Times New Roman" w:hAnsi="Times New Roman" w:cs="Times New Roman"/>
          <w:bCs/>
          <w:i/>
          <w:sz w:val="24"/>
          <w:szCs w:val="24"/>
        </w:rPr>
        <w:t xml:space="preserve">caput do art. 412 e </w:t>
      </w:r>
      <w:r w:rsidR="00E12C5D" w:rsidRPr="006A4446">
        <w:rPr>
          <w:rFonts w:ascii="Times New Roman" w:hAnsi="Times New Roman" w:cs="Times New Roman"/>
          <w:bCs/>
          <w:i/>
          <w:sz w:val="24"/>
          <w:szCs w:val="24"/>
        </w:rPr>
        <w:t xml:space="preserve">o </w:t>
      </w:r>
      <w:r w:rsidR="00943048" w:rsidRPr="006A4446">
        <w:rPr>
          <w:rFonts w:ascii="Times New Roman" w:hAnsi="Times New Roman" w:cs="Times New Roman"/>
          <w:bCs/>
          <w:i/>
          <w:sz w:val="24"/>
          <w:szCs w:val="24"/>
        </w:rPr>
        <w:t>art. 413, da Lei Complementar nº</w:t>
      </w:r>
      <w:r w:rsidR="0059341D" w:rsidRPr="006A4446">
        <w:rPr>
          <w:rFonts w:ascii="Times New Roman" w:hAnsi="Times New Roman" w:cs="Times New Roman"/>
          <w:bCs/>
          <w:i/>
          <w:sz w:val="24"/>
          <w:szCs w:val="24"/>
        </w:rPr>
        <w:t xml:space="preserve"> 004, de 21 de dezembro de 2018, que “Disciplina o Sistema Tributário do Município, consolida leis e institui o novo Código Tributário Municipal”.</w:t>
      </w:r>
    </w:p>
    <w:p w:rsidR="006A4446" w:rsidRPr="006A4446" w:rsidRDefault="006A4446" w:rsidP="00A75EB1">
      <w:pPr>
        <w:ind w:left="3402"/>
        <w:jc w:val="both"/>
        <w:rPr>
          <w:rFonts w:ascii="Times New Roman" w:hAnsi="Times New Roman" w:cs="Times New Roman"/>
          <w:b/>
          <w:i/>
          <w:sz w:val="24"/>
          <w:szCs w:val="24"/>
        </w:rPr>
      </w:pPr>
    </w:p>
    <w:p w:rsidR="0059341D" w:rsidRDefault="00706402" w:rsidP="004D0A82">
      <w:pPr>
        <w:tabs>
          <w:tab w:val="left" w:pos="426"/>
        </w:tabs>
        <w:spacing w:after="0"/>
        <w:ind w:firstLine="851"/>
        <w:jc w:val="both"/>
        <w:rPr>
          <w:rFonts w:ascii="Times New Roman" w:hAnsi="Times New Roman" w:cs="Times New Roman"/>
          <w:sz w:val="24"/>
          <w:szCs w:val="24"/>
        </w:rPr>
      </w:pPr>
      <w:r w:rsidRPr="004D0A82">
        <w:rPr>
          <w:rFonts w:ascii="Times New Roman" w:hAnsi="Times New Roman" w:cs="Times New Roman"/>
          <w:b/>
          <w:bCs/>
          <w:sz w:val="24"/>
          <w:szCs w:val="24"/>
        </w:rPr>
        <w:t>Art. 1</w:t>
      </w:r>
      <w:r w:rsidR="0059341D" w:rsidRPr="004D0A82">
        <w:rPr>
          <w:rFonts w:ascii="Times New Roman" w:hAnsi="Times New Roman" w:cs="Times New Roman"/>
          <w:b/>
          <w:bCs/>
          <w:sz w:val="24"/>
          <w:szCs w:val="24"/>
        </w:rPr>
        <w:t>º</w:t>
      </w:r>
      <w:r w:rsidR="0059341D" w:rsidRPr="004D0A82">
        <w:rPr>
          <w:rFonts w:ascii="Times New Roman" w:hAnsi="Times New Roman" w:cs="Times New Roman"/>
          <w:bCs/>
          <w:sz w:val="24"/>
          <w:szCs w:val="24"/>
        </w:rPr>
        <w:t xml:space="preserve"> Altera </w:t>
      </w:r>
      <w:r w:rsidR="00E12C5D" w:rsidRPr="004D0A82">
        <w:rPr>
          <w:rFonts w:ascii="Times New Roman" w:hAnsi="Times New Roman" w:cs="Times New Roman"/>
          <w:bCs/>
          <w:sz w:val="24"/>
          <w:szCs w:val="24"/>
        </w:rPr>
        <w:t xml:space="preserve">a Tabela </w:t>
      </w:r>
      <w:r w:rsidR="0059341D" w:rsidRPr="004D0A82">
        <w:rPr>
          <w:rFonts w:ascii="Times New Roman" w:hAnsi="Times New Roman" w:cs="Times New Roman"/>
          <w:sz w:val="24"/>
          <w:szCs w:val="24"/>
        </w:rPr>
        <w:t>II</w:t>
      </w:r>
      <w:r w:rsidR="00E12C5D" w:rsidRPr="004D0A82">
        <w:rPr>
          <w:rFonts w:ascii="Times New Roman" w:hAnsi="Times New Roman" w:cs="Times New Roman"/>
          <w:sz w:val="24"/>
          <w:szCs w:val="24"/>
        </w:rPr>
        <w:t xml:space="preserve"> - </w:t>
      </w:r>
      <w:r w:rsidR="0059341D" w:rsidRPr="004D0A82">
        <w:rPr>
          <w:rFonts w:ascii="Times New Roman" w:hAnsi="Times New Roman" w:cs="Times New Roman"/>
          <w:sz w:val="24"/>
          <w:szCs w:val="24"/>
        </w:rPr>
        <w:t>Lista de Serviços Incidentes ao Imposto Sobre Serviç</w:t>
      </w:r>
      <w:r w:rsidR="00E12C5D" w:rsidRPr="004D0A82">
        <w:rPr>
          <w:rFonts w:ascii="Times New Roman" w:hAnsi="Times New Roman" w:cs="Times New Roman"/>
          <w:sz w:val="24"/>
          <w:szCs w:val="24"/>
        </w:rPr>
        <w:t xml:space="preserve">os de Qualquer Natureza – ISS, </w:t>
      </w:r>
      <w:r w:rsidR="00A75EB1" w:rsidRPr="004D0A82">
        <w:rPr>
          <w:rFonts w:ascii="Times New Roman" w:hAnsi="Times New Roman" w:cs="Times New Roman"/>
          <w:sz w:val="24"/>
          <w:szCs w:val="24"/>
        </w:rPr>
        <w:t xml:space="preserve">da Lei Complementar º 004/2018, </w:t>
      </w:r>
      <w:r w:rsidR="00E12C5D" w:rsidRPr="004D0A82">
        <w:rPr>
          <w:rFonts w:ascii="Times New Roman" w:hAnsi="Times New Roman" w:cs="Times New Roman"/>
          <w:sz w:val="24"/>
          <w:szCs w:val="24"/>
        </w:rPr>
        <w:t>que passa a vigorar com a seguinte redação:</w:t>
      </w:r>
    </w:p>
    <w:p w:rsidR="006A4446" w:rsidRDefault="006A4446" w:rsidP="004D0A82">
      <w:pPr>
        <w:tabs>
          <w:tab w:val="left" w:pos="426"/>
        </w:tabs>
        <w:spacing w:after="0"/>
        <w:ind w:firstLine="851"/>
        <w:jc w:val="both"/>
        <w:rPr>
          <w:rFonts w:ascii="Times New Roman" w:hAnsi="Times New Roman" w:cs="Times New Roman"/>
          <w:sz w:val="24"/>
          <w:szCs w:val="24"/>
        </w:rPr>
      </w:pPr>
    </w:p>
    <w:p w:rsidR="004D0A82" w:rsidRPr="004D0A82" w:rsidRDefault="004D0A82" w:rsidP="004D0A82">
      <w:pPr>
        <w:tabs>
          <w:tab w:val="left" w:pos="426"/>
        </w:tabs>
        <w:spacing w:after="0"/>
        <w:ind w:firstLine="851"/>
        <w:jc w:val="both"/>
        <w:rPr>
          <w:rFonts w:ascii="Times New Roman" w:hAnsi="Times New Roman" w:cs="Times New Roman"/>
          <w:sz w:val="24"/>
          <w:szCs w:val="24"/>
        </w:rPr>
      </w:pPr>
    </w:p>
    <w:tbl>
      <w:tblPr>
        <w:tblStyle w:val="TableNormal"/>
        <w:tblW w:w="100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6"/>
        <w:gridCol w:w="1984"/>
        <w:gridCol w:w="445"/>
      </w:tblGrid>
      <w:tr w:rsidR="00AF0AD9" w:rsidRPr="00ED1D4D" w:rsidTr="004D0A82">
        <w:trPr>
          <w:gridAfter w:val="1"/>
          <w:wAfter w:w="445" w:type="dxa"/>
          <w:trHeight w:val="816"/>
        </w:trPr>
        <w:tc>
          <w:tcPr>
            <w:tcW w:w="9640" w:type="dxa"/>
            <w:gridSpan w:val="2"/>
            <w:tcBorders>
              <w:left w:val="single" w:sz="8" w:space="0" w:color="000000"/>
              <w:right w:val="single" w:sz="8" w:space="0" w:color="000000"/>
            </w:tcBorders>
            <w:shd w:val="clear" w:color="auto" w:fill="9CC2E4"/>
          </w:tcPr>
          <w:p w:rsidR="00AF0AD9" w:rsidRPr="00ED1D4D" w:rsidRDefault="00AF0AD9" w:rsidP="00AF0AD9">
            <w:pPr>
              <w:pStyle w:val="TableParagraph"/>
              <w:jc w:val="center"/>
              <w:rPr>
                <w:b/>
                <w:sz w:val="24"/>
                <w:szCs w:val="24"/>
                <w:lang w:val="pt-BR"/>
              </w:rPr>
            </w:pPr>
            <w:r w:rsidRPr="00ED1D4D">
              <w:rPr>
                <w:b/>
                <w:sz w:val="24"/>
                <w:szCs w:val="24"/>
                <w:lang w:val="pt-BR"/>
              </w:rPr>
              <w:t>LISTA DE SERVIÇOS INCIDENTES AO</w:t>
            </w:r>
          </w:p>
          <w:p w:rsidR="00AF0AD9" w:rsidRPr="00ED1D4D" w:rsidRDefault="00AF0AD9" w:rsidP="00AF0AD9">
            <w:pPr>
              <w:pStyle w:val="TableParagraph"/>
              <w:jc w:val="center"/>
              <w:rPr>
                <w:b/>
                <w:sz w:val="24"/>
                <w:szCs w:val="24"/>
                <w:lang w:val="pt-BR"/>
              </w:rPr>
            </w:pPr>
            <w:r w:rsidRPr="00ED1D4D">
              <w:rPr>
                <w:b/>
                <w:sz w:val="24"/>
                <w:szCs w:val="24"/>
                <w:lang w:val="pt-BR"/>
              </w:rPr>
              <w:t>IMPOSTO SOBRE SERVIÇOS DE QUALQUER NATUREZA- ISS</w:t>
            </w:r>
          </w:p>
        </w:tc>
      </w:tr>
      <w:tr w:rsidR="00AF0AD9" w:rsidRPr="00ED1D4D" w:rsidTr="004D0A82">
        <w:trPr>
          <w:gridAfter w:val="1"/>
          <w:wAfter w:w="445" w:type="dxa"/>
          <w:trHeight w:val="354"/>
        </w:trPr>
        <w:tc>
          <w:tcPr>
            <w:tcW w:w="7656" w:type="dxa"/>
            <w:tcBorders>
              <w:left w:val="single" w:sz="8" w:space="0" w:color="000000"/>
              <w:right w:val="single" w:sz="8" w:space="0" w:color="000000"/>
            </w:tcBorders>
          </w:tcPr>
          <w:p w:rsidR="00AF0AD9" w:rsidRPr="00EA3B5B" w:rsidRDefault="00AF0AD9" w:rsidP="00AF0AD9">
            <w:pPr>
              <w:pStyle w:val="TableParagraph"/>
              <w:spacing w:line="194" w:lineRule="exact"/>
              <w:ind w:left="2636" w:right="2617"/>
              <w:jc w:val="center"/>
              <w:rPr>
                <w:sz w:val="24"/>
                <w:szCs w:val="24"/>
                <w:lang w:val="pt-BR"/>
              </w:rPr>
            </w:pPr>
          </w:p>
          <w:p w:rsidR="00AF0AD9" w:rsidRDefault="00AF0AD9" w:rsidP="00AF0AD9">
            <w:pPr>
              <w:pStyle w:val="TableParagraph"/>
              <w:spacing w:line="194" w:lineRule="exact"/>
              <w:ind w:left="2636" w:right="2617"/>
              <w:jc w:val="center"/>
              <w:rPr>
                <w:sz w:val="24"/>
                <w:szCs w:val="24"/>
              </w:rPr>
            </w:pPr>
            <w:r w:rsidRPr="00ED1D4D">
              <w:rPr>
                <w:sz w:val="24"/>
                <w:szCs w:val="24"/>
              </w:rPr>
              <w:t>Especificações</w:t>
            </w:r>
          </w:p>
          <w:p w:rsidR="00AF0AD9" w:rsidRPr="00ED1D4D" w:rsidRDefault="00AF0AD9" w:rsidP="00AF0AD9">
            <w:pPr>
              <w:pStyle w:val="TableParagraph"/>
              <w:spacing w:line="194" w:lineRule="exact"/>
              <w:ind w:left="2636" w:right="2617"/>
              <w:jc w:val="center"/>
              <w:rPr>
                <w:sz w:val="24"/>
                <w:szCs w:val="24"/>
              </w:rPr>
            </w:pPr>
          </w:p>
        </w:tc>
        <w:tc>
          <w:tcPr>
            <w:tcW w:w="1984" w:type="dxa"/>
            <w:tcBorders>
              <w:left w:val="single" w:sz="8" w:space="0" w:color="000000"/>
              <w:right w:val="single" w:sz="8" w:space="0" w:color="000000"/>
            </w:tcBorders>
          </w:tcPr>
          <w:p w:rsidR="00AF0AD9" w:rsidRDefault="00AF0AD9" w:rsidP="00AF0AD9">
            <w:pPr>
              <w:pStyle w:val="TableParagraph"/>
              <w:spacing w:line="194" w:lineRule="exact"/>
              <w:jc w:val="center"/>
              <w:rPr>
                <w:sz w:val="24"/>
                <w:szCs w:val="24"/>
              </w:rPr>
            </w:pPr>
          </w:p>
          <w:p w:rsidR="00AF0AD9" w:rsidRPr="00ED1D4D" w:rsidRDefault="00AF0AD9" w:rsidP="00AF0AD9">
            <w:pPr>
              <w:pStyle w:val="TableParagraph"/>
              <w:spacing w:line="194" w:lineRule="exact"/>
              <w:jc w:val="center"/>
              <w:rPr>
                <w:sz w:val="24"/>
                <w:szCs w:val="24"/>
              </w:rPr>
            </w:pPr>
            <w:r w:rsidRPr="00ED1D4D">
              <w:rPr>
                <w:sz w:val="24"/>
                <w:szCs w:val="24"/>
              </w:rPr>
              <w:t>URM</w:t>
            </w:r>
          </w:p>
        </w:tc>
      </w:tr>
      <w:tr w:rsidR="00AF0AD9" w:rsidRPr="00ED1D4D" w:rsidTr="004D0A82">
        <w:trPr>
          <w:gridAfter w:val="1"/>
          <w:wAfter w:w="445" w:type="dxa"/>
          <w:trHeight w:val="354"/>
        </w:trPr>
        <w:tc>
          <w:tcPr>
            <w:tcW w:w="9640" w:type="dxa"/>
            <w:gridSpan w:val="2"/>
            <w:tcBorders>
              <w:left w:val="single" w:sz="8" w:space="0" w:color="000000"/>
              <w:right w:val="single" w:sz="8" w:space="0" w:color="000000"/>
            </w:tcBorders>
            <w:shd w:val="clear" w:color="auto" w:fill="BEBEBE"/>
          </w:tcPr>
          <w:p w:rsidR="00AF0AD9" w:rsidRDefault="00AF0AD9" w:rsidP="00AF0AD9">
            <w:pPr>
              <w:pStyle w:val="TableParagraph"/>
              <w:spacing w:line="194" w:lineRule="exact"/>
              <w:ind w:left="1917" w:right="1901"/>
              <w:jc w:val="center"/>
              <w:rPr>
                <w:b/>
                <w:sz w:val="24"/>
                <w:szCs w:val="24"/>
              </w:rPr>
            </w:pPr>
          </w:p>
          <w:p w:rsidR="00AF0AD9" w:rsidRDefault="00AF0AD9" w:rsidP="00AF0AD9">
            <w:pPr>
              <w:pStyle w:val="TableParagraph"/>
              <w:spacing w:line="194" w:lineRule="exact"/>
              <w:ind w:left="1917" w:right="1901"/>
              <w:jc w:val="center"/>
              <w:rPr>
                <w:b/>
                <w:sz w:val="24"/>
                <w:szCs w:val="24"/>
              </w:rPr>
            </w:pPr>
            <w:r w:rsidRPr="00ED1D4D">
              <w:rPr>
                <w:b/>
                <w:sz w:val="24"/>
                <w:szCs w:val="24"/>
              </w:rPr>
              <w:t>I – TRABALHO PESSOAL</w:t>
            </w:r>
          </w:p>
          <w:p w:rsidR="00AF0AD9" w:rsidRPr="00ED1D4D" w:rsidRDefault="00AF0AD9" w:rsidP="00AF0AD9">
            <w:pPr>
              <w:pStyle w:val="TableParagraph"/>
              <w:spacing w:line="194" w:lineRule="exact"/>
              <w:ind w:left="1917" w:right="1901"/>
              <w:jc w:val="center"/>
              <w:rPr>
                <w:b/>
                <w:sz w:val="24"/>
                <w:szCs w:val="24"/>
              </w:rPr>
            </w:pPr>
          </w:p>
        </w:tc>
      </w:tr>
      <w:tr w:rsidR="00AF0AD9" w:rsidRPr="00ED1D4D" w:rsidTr="004D0A82">
        <w:trPr>
          <w:gridAfter w:val="1"/>
          <w:wAfter w:w="445" w:type="dxa"/>
          <w:trHeight w:val="314"/>
        </w:trPr>
        <w:tc>
          <w:tcPr>
            <w:tcW w:w="7656" w:type="dxa"/>
            <w:tcBorders>
              <w:left w:val="single" w:sz="8" w:space="0" w:color="000000"/>
              <w:right w:val="single" w:sz="8" w:space="0" w:color="000000"/>
            </w:tcBorders>
          </w:tcPr>
          <w:p w:rsidR="00AF0AD9" w:rsidRDefault="00AF0AD9" w:rsidP="00AF0AD9">
            <w:pPr>
              <w:pStyle w:val="TableParagraph"/>
              <w:spacing w:line="194" w:lineRule="exact"/>
              <w:rPr>
                <w:sz w:val="24"/>
                <w:szCs w:val="24"/>
                <w:lang w:val="pt-BR"/>
              </w:rPr>
            </w:pPr>
          </w:p>
          <w:p w:rsidR="00AF0AD9" w:rsidRDefault="00AF0AD9" w:rsidP="00AF0AD9">
            <w:pPr>
              <w:pStyle w:val="TableParagraph"/>
              <w:spacing w:line="194" w:lineRule="exact"/>
              <w:rPr>
                <w:sz w:val="24"/>
                <w:szCs w:val="24"/>
                <w:lang w:val="pt-BR"/>
              </w:rPr>
            </w:pPr>
            <w:r w:rsidRPr="00ED1D4D">
              <w:rPr>
                <w:sz w:val="24"/>
                <w:szCs w:val="24"/>
                <w:lang w:val="pt-BR"/>
              </w:rPr>
              <w:t>1 - Profissionais liberais com formação de nível superior</w:t>
            </w:r>
          </w:p>
          <w:p w:rsidR="00AF0AD9" w:rsidRPr="00ED1D4D" w:rsidRDefault="00AF0AD9" w:rsidP="00AF0AD9">
            <w:pPr>
              <w:pStyle w:val="TableParagraph"/>
              <w:spacing w:line="194" w:lineRule="exact"/>
              <w:rPr>
                <w:sz w:val="24"/>
                <w:szCs w:val="24"/>
                <w:lang w:val="pt-BR"/>
              </w:rPr>
            </w:pPr>
          </w:p>
        </w:tc>
        <w:tc>
          <w:tcPr>
            <w:tcW w:w="1984" w:type="dxa"/>
            <w:tcBorders>
              <w:left w:val="single" w:sz="8" w:space="0" w:color="000000"/>
              <w:right w:val="single" w:sz="8" w:space="0" w:color="000000"/>
            </w:tcBorders>
          </w:tcPr>
          <w:p w:rsidR="00AF0AD9" w:rsidRDefault="00AF0AD9" w:rsidP="00AF0AD9">
            <w:pPr>
              <w:pStyle w:val="TableParagraph"/>
              <w:spacing w:line="194" w:lineRule="exact"/>
              <w:ind w:left="725" w:right="903" w:hanging="30"/>
              <w:jc w:val="right"/>
              <w:rPr>
                <w:sz w:val="24"/>
                <w:szCs w:val="24"/>
                <w:lang w:val="pt-BR"/>
              </w:rPr>
            </w:pPr>
          </w:p>
          <w:p w:rsidR="00AF0AD9" w:rsidRPr="00ED1D4D" w:rsidRDefault="004D0A82" w:rsidP="00AF0AD9">
            <w:pPr>
              <w:pStyle w:val="TableParagraph"/>
              <w:spacing w:line="194" w:lineRule="exact"/>
              <w:ind w:left="725" w:right="903" w:hanging="30"/>
              <w:jc w:val="right"/>
              <w:rPr>
                <w:sz w:val="24"/>
                <w:szCs w:val="24"/>
                <w:lang w:val="pt-BR"/>
              </w:rPr>
            </w:pPr>
            <w:r>
              <w:rPr>
                <w:sz w:val="24"/>
                <w:szCs w:val="24"/>
                <w:lang w:val="pt-BR"/>
              </w:rPr>
              <w:t>5</w:t>
            </w:r>
          </w:p>
        </w:tc>
      </w:tr>
      <w:tr w:rsidR="00AF0AD9" w:rsidRPr="00ED1D4D" w:rsidTr="004D0A82">
        <w:trPr>
          <w:gridAfter w:val="1"/>
          <w:wAfter w:w="445" w:type="dxa"/>
          <w:trHeight w:val="354"/>
        </w:trPr>
        <w:tc>
          <w:tcPr>
            <w:tcW w:w="7656" w:type="dxa"/>
            <w:tcBorders>
              <w:left w:val="single" w:sz="8" w:space="0" w:color="000000"/>
              <w:right w:val="single" w:sz="8" w:space="0" w:color="000000"/>
            </w:tcBorders>
          </w:tcPr>
          <w:p w:rsidR="00AF0AD9" w:rsidRDefault="00AF0AD9" w:rsidP="00AF0AD9">
            <w:pPr>
              <w:pStyle w:val="TableParagraph"/>
              <w:spacing w:line="194" w:lineRule="exact"/>
              <w:rPr>
                <w:sz w:val="24"/>
                <w:szCs w:val="24"/>
                <w:lang w:val="pt-BR"/>
              </w:rPr>
            </w:pPr>
          </w:p>
          <w:p w:rsidR="00AF0AD9" w:rsidRDefault="00AF0AD9" w:rsidP="00AF0AD9">
            <w:pPr>
              <w:pStyle w:val="TableParagraph"/>
              <w:spacing w:line="194" w:lineRule="exact"/>
              <w:rPr>
                <w:sz w:val="24"/>
                <w:szCs w:val="24"/>
                <w:lang w:val="pt-BR"/>
              </w:rPr>
            </w:pPr>
            <w:r w:rsidRPr="00ED1D4D">
              <w:rPr>
                <w:sz w:val="24"/>
                <w:szCs w:val="24"/>
                <w:lang w:val="pt-BR"/>
              </w:rPr>
              <w:t>2 - Profissionais com formação técnica ou nível médio</w:t>
            </w:r>
          </w:p>
          <w:p w:rsidR="00AF0AD9" w:rsidRPr="00ED1D4D" w:rsidRDefault="00AF0AD9" w:rsidP="00AF0AD9">
            <w:pPr>
              <w:pStyle w:val="TableParagraph"/>
              <w:spacing w:line="194" w:lineRule="exact"/>
              <w:rPr>
                <w:sz w:val="24"/>
                <w:szCs w:val="24"/>
                <w:lang w:val="pt-BR"/>
              </w:rPr>
            </w:pPr>
          </w:p>
        </w:tc>
        <w:tc>
          <w:tcPr>
            <w:tcW w:w="1984" w:type="dxa"/>
            <w:tcBorders>
              <w:left w:val="single" w:sz="8" w:space="0" w:color="000000"/>
              <w:right w:val="single" w:sz="8" w:space="0" w:color="000000"/>
            </w:tcBorders>
          </w:tcPr>
          <w:p w:rsidR="00AF0AD9" w:rsidRDefault="00AF0AD9" w:rsidP="00AF0AD9">
            <w:pPr>
              <w:pStyle w:val="TableParagraph"/>
              <w:spacing w:line="194" w:lineRule="exact"/>
              <w:ind w:left="441" w:right="903" w:hanging="30"/>
              <w:jc w:val="right"/>
              <w:rPr>
                <w:sz w:val="24"/>
                <w:szCs w:val="24"/>
                <w:lang w:val="pt-BR"/>
              </w:rPr>
            </w:pPr>
          </w:p>
          <w:p w:rsidR="00AF0AD9" w:rsidRPr="00ED1D4D" w:rsidRDefault="004D0A82" w:rsidP="00AF0AD9">
            <w:pPr>
              <w:pStyle w:val="TableParagraph"/>
              <w:spacing w:line="194" w:lineRule="exact"/>
              <w:ind w:left="441" w:right="903" w:hanging="30"/>
              <w:jc w:val="right"/>
              <w:rPr>
                <w:sz w:val="24"/>
                <w:szCs w:val="24"/>
                <w:lang w:val="pt-BR"/>
              </w:rPr>
            </w:pPr>
            <w:r>
              <w:rPr>
                <w:sz w:val="24"/>
                <w:szCs w:val="24"/>
                <w:lang w:val="pt-BR"/>
              </w:rPr>
              <w:t>2</w:t>
            </w:r>
          </w:p>
        </w:tc>
      </w:tr>
      <w:tr w:rsidR="00AF0AD9" w:rsidRPr="00ED1D4D" w:rsidTr="004D0A82">
        <w:trPr>
          <w:gridAfter w:val="1"/>
          <w:wAfter w:w="445" w:type="dxa"/>
          <w:trHeight w:val="741"/>
        </w:trPr>
        <w:tc>
          <w:tcPr>
            <w:tcW w:w="7656" w:type="dxa"/>
            <w:tcBorders>
              <w:left w:val="single" w:sz="8" w:space="0" w:color="000000"/>
              <w:right w:val="single" w:sz="8" w:space="0" w:color="000000"/>
            </w:tcBorders>
          </w:tcPr>
          <w:p w:rsidR="00AF0AD9" w:rsidRDefault="00AF0AD9" w:rsidP="00AF0AD9">
            <w:pPr>
              <w:pStyle w:val="TableParagraph"/>
              <w:spacing w:before="2"/>
              <w:ind w:left="43"/>
              <w:rPr>
                <w:sz w:val="24"/>
                <w:szCs w:val="24"/>
                <w:lang w:val="pt-BR"/>
              </w:rPr>
            </w:pPr>
            <w:r w:rsidRPr="00ED1D4D">
              <w:rPr>
                <w:sz w:val="24"/>
                <w:szCs w:val="24"/>
                <w:lang w:val="pt-BR"/>
              </w:rPr>
              <w:t>3 – Profissionais responsáveis por serviços a que se referem os subitens 7.02, 7.04 e 7.05 da lista abaixo, não estabelecidos no Município, por licenciamento de obra.</w:t>
            </w:r>
          </w:p>
          <w:p w:rsidR="00AF0AD9" w:rsidRPr="00ED1D4D" w:rsidRDefault="00AF0AD9" w:rsidP="00AF0AD9">
            <w:pPr>
              <w:pStyle w:val="TableParagraph"/>
              <w:spacing w:before="2"/>
              <w:ind w:left="43"/>
              <w:rPr>
                <w:sz w:val="24"/>
                <w:szCs w:val="24"/>
                <w:lang w:val="pt-BR"/>
              </w:rPr>
            </w:pPr>
          </w:p>
        </w:tc>
        <w:tc>
          <w:tcPr>
            <w:tcW w:w="1984" w:type="dxa"/>
            <w:tcBorders>
              <w:left w:val="single" w:sz="8" w:space="0" w:color="000000"/>
              <w:right w:val="single" w:sz="8" w:space="0" w:color="000000"/>
            </w:tcBorders>
          </w:tcPr>
          <w:p w:rsidR="00AF0AD9" w:rsidRDefault="00AF0AD9" w:rsidP="00AF0AD9">
            <w:pPr>
              <w:pStyle w:val="TableParagraph"/>
              <w:spacing w:line="194" w:lineRule="exact"/>
              <w:ind w:right="903" w:hanging="30"/>
              <w:jc w:val="right"/>
              <w:rPr>
                <w:sz w:val="24"/>
                <w:szCs w:val="24"/>
                <w:lang w:val="pt-BR"/>
              </w:rPr>
            </w:pPr>
          </w:p>
          <w:p w:rsidR="00AF0AD9" w:rsidRPr="00ED1D4D" w:rsidRDefault="004D0A82" w:rsidP="00AF0AD9">
            <w:pPr>
              <w:pStyle w:val="TableParagraph"/>
              <w:spacing w:line="194" w:lineRule="exact"/>
              <w:ind w:right="903" w:hanging="30"/>
              <w:jc w:val="right"/>
              <w:rPr>
                <w:sz w:val="24"/>
                <w:szCs w:val="24"/>
                <w:lang w:val="pt-BR"/>
              </w:rPr>
            </w:pPr>
            <w:r>
              <w:rPr>
                <w:sz w:val="24"/>
                <w:szCs w:val="24"/>
                <w:lang w:val="pt-BR"/>
              </w:rPr>
              <w:t>5</w:t>
            </w:r>
          </w:p>
        </w:tc>
      </w:tr>
      <w:tr w:rsidR="00AF0AD9" w:rsidRPr="00ED1D4D" w:rsidTr="004D0A82">
        <w:trPr>
          <w:gridAfter w:val="1"/>
          <w:wAfter w:w="445" w:type="dxa"/>
          <w:trHeight w:val="354"/>
        </w:trPr>
        <w:tc>
          <w:tcPr>
            <w:tcW w:w="7656" w:type="dxa"/>
            <w:tcBorders>
              <w:left w:val="single" w:sz="8" w:space="0" w:color="000000"/>
              <w:right w:val="single" w:sz="8" w:space="0" w:color="000000"/>
            </w:tcBorders>
          </w:tcPr>
          <w:p w:rsidR="00AF0AD9" w:rsidRDefault="00AF0AD9" w:rsidP="00AF0AD9">
            <w:pPr>
              <w:pStyle w:val="TableParagraph"/>
              <w:spacing w:before="2"/>
              <w:rPr>
                <w:sz w:val="24"/>
                <w:szCs w:val="24"/>
                <w:lang w:val="pt-BR"/>
              </w:rPr>
            </w:pPr>
          </w:p>
          <w:p w:rsidR="00AF0AD9" w:rsidRPr="00ED1D4D" w:rsidRDefault="00AF0AD9" w:rsidP="00AF0AD9">
            <w:pPr>
              <w:pStyle w:val="TableParagraph"/>
              <w:spacing w:before="2"/>
              <w:rPr>
                <w:sz w:val="24"/>
                <w:szCs w:val="24"/>
                <w:lang w:val="pt-BR"/>
              </w:rPr>
            </w:pPr>
            <w:r w:rsidRPr="00ED1D4D">
              <w:rPr>
                <w:sz w:val="24"/>
                <w:szCs w:val="24"/>
                <w:lang w:val="pt-BR"/>
              </w:rPr>
              <w:t>4 - Demais prestadores de serviço não enquadrados acima, por ano ou fração</w:t>
            </w:r>
          </w:p>
        </w:tc>
        <w:tc>
          <w:tcPr>
            <w:tcW w:w="1984" w:type="dxa"/>
            <w:tcBorders>
              <w:left w:val="single" w:sz="8" w:space="0" w:color="000000"/>
              <w:right w:val="single" w:sz="8" w:space="0" w:color="000000"/>
            </w:tcBorders>
          </w:tcPr>
          <w:p w:rsidR="00AF0AD9" w:rsidRDefault="00AF0AD9" w:rsidP="00AF0AD9">
            <w:pPr>
              <w:pStyle w:val="TableParagraph"/>
              <w:spacing w:before="2"/>
              <w:ind w:right="903" w:hanging="30"/>
              <w:jc w:val="right"/>
              <w:rPr>
                <w:sz w:val="24"/>
                <w:szCs w:val="24"/>
                <w:lang w:val="pt-BR"/>
              </w:rPr>
            </w:pPr>
          </w:p>
          <w:p w:rsidR="00AF0AD9" w:rsidRDefault="004D0A82" w:rsidP="00AF0AD9">
            <w:pPr>
              <w:pStyle w:val="TableParagraph"/>
              <w:spacing w:before="2"/>
              <w:ind w:right="903" w:hanging="30"/>
              <w:jc w:val="right"/>
              <w:rPr>
                <w:sz w:val="24"/>
                <w:szCs w:val="24"/>
                <w:lang w:val="pt-BR"/>
              </w:rPr>
            </w:pPr>
            <w:r>
              <w:rPr>
                <w:sz w:val="24"/>
                <w:szCs w:val="24"/>
                <w:lang w:val="pt-BR"/>
              </w:rPr>
              <w:t>1,5</w:t>
            </w:r>
          </w:p>
          <w:p w:rsidR="00AF0AD9" w:rsidRPr="00ED1D4D" w:rsidRDefault="00AF0AD9" w:rsidP="00AF0AD9">
            <w:pPr>
              <w:pStyle w:val="TableParagraph"/>
              <w:spacing w:before="2"/>
              <w:ind w:right="903" w:hanging="30"/>
              <w:jc w:val="right"/>
              <w:rPr>
                <w:sz w:val="24"/>
                <w:szCs w:val="24"/>
                <w:lang w:val="pt-BR"/>
              </w:rPr>
            </w:pPr>
          </w:p>
        </w:tc>
      </w:tr>
      <w:tr w:rsidR="00AF0AD9" w:rsidRPr="00ED1D4D" w:rsidTr="004D0A82">
        <w:trPr>
          <w:gridAfter w:val="1"/>
          <w:wAfter w:w="445" w:type="dxa"/>
          <w:trHeight w:val="354"/>
        </w:trPr>
        <w:tc>
          <w:tcPr>
            <w:tcW w:w="9640" w:type="dxa"/>
            <w:gridSpan w:val="2"/>
            <w:tcBorders>
              <w:left w:val="single" w:sz="8" w:space="0" w:color="000000"/>
              <w:right w:val="single" w:sz="8" w:space="0" w:color="000000"/>
            </w:tcBorders>
            <w:shd w:val="clear" w:color="auto" w:fill="BEBEBE"/>
          </w:tcPr>
          <w:p w:rsidR="00AF0AD9" w:rsidRDefault="00AF0AD9" w:rsidP="00AF0AD9">
            <w:pPr>
              <w:pStyle w:val="TableParagraph"/>
              <w:spacing w:line="194" w:lineRule="exact"/>
              <w:ind w:left="2871"/>
              <w:rPr>
                <w:b/>
                <w:sz w:val="24"/>
                <w:szCs w:val="24"/>
                <w:lang w:val="pt-BR"/>
              </w:rPr>
            </w:pPr>
          </w:p>
          <w:p w:rsidR="00AF0AD9" w:rsidRDefault="00AF0AD9" w:rsidP="00AF0AD9">
            <w:pPr>
              <w:pStyle w:val="TableParagraph"/>
              <w:spacing w:line="194" w:lineRule="exact"/>
              <w:ind w:left="2871"/>
              <w:rPr>
                <w:b/>
                <w:sz w:val="24"/>
                <w:szCs w:val="24"/>
                <w:lang w:val="pt-BR"/>
              </w:rPr>
            </w:pPr>
            <w:r w:rsidRPr="00ED1D4D">
              <w:rPr>
                <w:b/>
                <w:sz w:val="24"/>
                <w:szCs w:val="24"/>
                <w:lang w:val="pt-BR"/>
              </w:rPr>
              <w:t>II - SERVIÇOS DE TAXI– Pessoa Física</w:t>
            </w:r>
          </w:p>
          <w:p w:rsidR="00AF0AD9" w:rsidRPr="00ED1D4D" w:rsidRDefault="00AF0AD9" w:rsidP="00AF0AD9">
            <w:pPr>
              <w:pStyle w:val="TableParagraph"/>
              <w:spacing w:line="194" w:lineRule="exact"/>
              <w:ind w:left="2871"/>
              <w:rPr>
                <w:b/>
                <w:sz w:val="24"/>
                <w:szCs w:val="24"/>
                <w:lang w:val="pt-BR"/>
              </w:rPr>
            </w:pPr>
          </w:p>
        </w:tc>
      </w:tr>
      <w:tr w:rsidR="00AF0AD9" w:rsidRPr="00ED1D4D" w:rsidTr="004D0A82">
        <w:trPr>
          <w:gridAfter w:val="1"/>
          <w:wAfter w:w="445" w:type="dxa"/>
          <w:trHeight w:val="354"/>
        </w:trPr>
        <w:tc>
          <w:tcPr>
            <w:tcW w:w="7656" w:type="dxa"/>
            <w:tcBorders>
              <w:left w:val="single" w:sz="8" w:space="0" w:color="000000"/>
              <w:right w:val="single" w:sz="8" w:space="0" w:color="000000"/>
            </w:tcBorders>
          </w:tcPr>
          <w:p w:rsidR="00AF0AD9" w:rsidRDefault="00AF0AD9" w:rsidP="00AF0AD9">
            <w:pPr>
              <w:pStyle w:val="TableParagraph"/>
              <w:spacing w:line="194" w:lineRule="exact"/>
              <w:rPr>
                <w:sz w:val="24"/>
                <w:szCs w:val="24"/>
                <w:lang w:val="pt-BR"/>
              </w:rPr>
            </w:pPr>
          </w:p>
          <w:p w:rsidR="00AF0AD9" w:rsidRPr="00ED1D4D" w:rsidRDefault="00AF0AD9" w:rsidP="00AF0AD9">
            <w:pPr>
              <w:pStyle w:val="TableParagraph"/>
              <w:spacing w:line="194" w:lineRule="exact"/>
              <w:rPr>
                <w:sz w:val="24"/>
                <w:szCs w:val="24"/>
                <w:lang w:val="pt-BR"/>
              </w:rPr>
            </w:pPr>
            <w:r w:rsidRPr="00ED1D4D">
              <w:rPr>
                <w:sz w:val="24"/>
                <w:szCs w:val="24"/>
                <w:lang w:val="pt-BR"/>
              </w:rPr>
              <w:t>1 - Por veículo e por ano ou fração</w:t>
            </w:r>
          </w:p>
        </w:tc>
        <w:tc>
          <w:tcPr>
            <w:tcW w:w="1984" w:type="dxa"/>
            <w:tcBorders>
              <w:left w:val="single" w:sz="8" w:space="0" w:color="000000"/>
              <w:right w:val="single" w:sz="8" w:space="0" w:color="000000"/>
            </w:tcBorders>
          </w:tcPr>
          <w:p w:rsidR="00AF0AD9" w:rsidRDefault="00AF0AD9" w:rsidP="00AF0AD9">
            <w:pPr>
              <w:pStyle w:val="TableParagraph"/>
              <w:spacing w:line="194" w:lineRule="exact"/>
              <w:ind w:left="583" w:right="906"/>
              <w:jc w:val="right"/>
              <w:rPr>
                <w:sz w:val="24"/>
                <w:szCs w:val="24"/>
                <w:lang w:val="pt-BR"/>
              </w:rPr>
            </w:pPr>
          </w:p>
          <w:p w:rsidR="00AF0AD9" w:rsidRDefault="004D0A82" w:rsidP="00AF0AD9">
            <w:pPr>
              <w:pStyle w:val="TableParagraph"/>
              <w:spacing w:line="194" w:lineRule="exact"/>
              <w:ind w:left="583" w:right="906"/>
              <w:jc w:val="right"/>
              <w:rPr>
                <w:sz w:val="24"/>
                <w:szCs w:val="24"/>
                <w:lang w:val="pt-BR"/>
              </w:rPr>
            </w:pPr>
            <w:r>
              <w:rPr>
                <w:sz w:val="24"/>
                <w:szCs w:val="24"/>
                <w:lang w:val="pt-BR"/>
              </w:rPr>
              <w:t>1,5</w:t>
            </w:r>
          </w:p>
          <w:p w:rsidR="00AF0AD9" w:rsidRDefault="00AF0AD9" w:rsidP="00AF0AD9">
            <w:pPr>
              <w:pStyle w:val="TableParagraph"/>
              <w:spacing w:line="194" w:lineRule="exact"/>
              <w:ind w:left="583" w:right="906"/>
              <w:jc w:val="right"/>
              <w:rPr>
                <w:sz w:val="24"/>
                <w:szCs w:val="24"/>
                <w:lang w:val="pt-BR"/>
              </w:rPr>
            </w:pPr>
          </w:p>
          <w:p w:rsidR="00AF0AD9" w:rsidRPr="00ED1D4D" w:rsidRDefault="00AF0AD9" w:rsidP="00AF0AD9">
            <w:pPr>
              <w:pStyle w:val="TableParagraph"/>
              <w:spacing w:line="194" w:lineRule="exact"/>
              <w:ind w:left="583" w:right="906"/>
              <w:jc w:val="right"/>
              <w:rPr>
                <w:sz w:val="24"/>
                <w:szCs w:val="24"/>
                <w:lang w:val="pt-BR"/>
              </w:rPr>
            </w:pPr>
          </w:p>
        </w:tc>
      </w:tr>
      <w:tr w:rsidR="00AF0AD9" w:rsidRPr="00ED1D4D" w:rsidTr="004D0A82">
        <w:trPr>
          <w:gridAfter w:val="1"/>
          <w:wAfter w:w="445" w:type="dxa"/>
          <w:trHeight w:val="355"/>
        </w:trPr>
        <w:tc>
          <w:tcPr>
            <w:tcW w:w="9640" w:type="dxa"/>
            <w:gridSpan w:val="2"/>
            <w:tcBorders>
              <w:left w:val="single" w:sz="8" w:space="0" w:color="000000"/>
              <w:right w:val="single" w:sz="8" w:space="0" w:color="000000"/>
            </w:tcBorders>
            <w:shd w:val="clear" w:color="auto" w:fill="BEBEBE"/>
          </w:tcPr>
          <w:p w:rsidR="00AF0AD9" w:rsidRDefault="00AF0AD9" w:rsidP="00AF0AD9">
            <w:pPr>
              <w:pStyle w:val="TableParagraph"/>
              <w:spacing w:line="194" w:lineRule="exact"/>
              <w:ind w:left="2717"/>
              <w:rPr>
                <w:b/>
                <w:sz w:val="24"/>
                <w:szCs w:val="24"/>
                <w:lang w:val="pt-BR"/>
              </w:rPr>
            </w:pPr>
          </w:p>
          <w:p w:rsidR="00AF0AD9" w:rsidRDefault="00AF0AD9" w:rsidP="00AF0AD9">
            <w:pPr>
              <w:pStyle w:val="TableParagraph"/>
              <w:spacing w:line="194" w:lineRule="exact"/>
              <w:ind w:left="2717"/>
              <w:rPr>
                <w:b/>
                <w:sz w:val="24"/>
                <w:szCs w:val="24"/>
                <w:lang w:val="pt-BR"/>
              </w:rPr>
            </w:pPr>
            <w:r w:rsidRPr="00ED1D4D">
              <w:rPr>
                <w:b/>
                <w:sz w:val="24"/>
                <w:szCs w:val="24"/>
                <w:lang w:val="pt-BR"/>
              </w:rPr>
              <w:t>III - JOGOS DE MESA/CANCHA DE BOCHA</w:t>
            </w:r>
          </w:p>
          <w:p w:rsidR="00AF0AD9" w:rsidRPr="00ED1D4D" w:rsidRDefault="00AF0AD9" w:rsidP="00AF0AD9">
            <w:pPr>
              <w:pStyle w:val="TableParagraph"/>
              <w:spacing w:line="194" w:lineRule="exact"/>
              <w:ind w:left="2717"/>
              <w:rPr>
                <w:b/>
                <w:sz w:val="24"/>
                <w:szCs w:val="24"/>
                <w:lang w:val="pt-BR"/>
              </w:rPr>
            </w:pPr>
          </w:p>
        </w:tc>
      </w:tr>
      <w:tr w:rsidR="00AF0AD9" w:rsidRPr="00ED1D4D" w:rsidTr="004D0A82">
        <w:trPr>
          <w:gridAfter w:val="1"/>
          <w:wAfter w:w="445" w:type="dxa"/>
          <w:trHeight w:val="861"/>
        </w:trPr>
        <w:tc>
          <w:tcPr>
            <w:tcW w:w="7656" w:type="dxa"/>
            <w:tcBorders>
              <w:left w:val="single" w:sz="8" w:space="0" w:color="000000"/>
              <w:right w:val="single" w:sz="8" w:space="0" w:color="000000"/>
            </w:tcBorders>
          </w:tcPr>
          <w:p w:rsidR="00AF0AD9" w:rsidRPr="00ED1D4D" w:rsidRDefault="00AF0AD9" w:rsidP="00AF0AD9">
            <w:pPr>
              <w:pStyle w:val="TableParagraph"/>
              <w:spacing w:line="237" w:lineRule="auto"/>
              <w:rPr>
                <w:sz w:val="24"/>
                <w:szCs w:val="24"/>
                <w:lang w:val="pt-BR"/>
              </w:rPr>
            </w:pPr>
            <w:r w:rsidRPr="00ED1D4D">
              <w:rPr>
                <w:sz w:val="24"/>
                <w:szCs w:val="24"/>
                <w:lang w:val="pt-BR"/>
              </w:rPr>
              <w:t>1 - Sinuca ou similar e canchas de bocha, boliche, bolão, por mês ou fração, por unidade</w:t>
            </w:r>
          </w:p>
        </w:tc>
        <w:tc>
          <w:tcPr>
            <w:tcW w:w="1984" w:type="dxa"/>
            <w:tcBorders>
              <w:left w:val="single" w:sz="8" w:space="0" w:color="000000"/>
              <w:right w:val="single" w:sz="8" w:space="0" w:color="000000"/>
            </w:tcBorders>
          </w:tcPr>
          <w:p w:rsidR="00AF0AD9" w:rsidRPr="00ED1D4D" w:rsidRDefault="00AF0AD9" w:rsidP="00AF0AD9">
            <w:pPr>
              <w:pStyle w:val="TableParagraph"/>
              <w:spacing w:line="194" w:lineRule="exact"/>
              <w:ind w:left="928" w:right="142"/>
              <w:rPr>
                <w:sz w:val="24"/>
                <w:szCs w:val="24"/>
                <w:lang w:val="pt-BR"/>
              </w:rPr>
            </w:pPr>
            <w:r w:rsidRPr="00ED1D4D">
              <w:rPr>
                <w:sz w:val="24"/>
                <w:szCs w:val="24"/>
                <w:lang w:val="pt-BR"/>
              </w:rPr>
              <w:t>0,30 p/ mês e por mesa</w:t>
            </w:r>
          </w:p>
        </w:tc>
      </w:tr>
      <w:tr w:rsidR="00AF0AD9" w:rsidRPr="00ED1D4D" w:rsidTr="004D0A82">
        <w:trPr>
          <w:gridAfter w:val="1"/>
          <w:wAfter w:w="445" w:type="dxa"/>
          <w:trHeight w:val="577"/>
        </w:trPr>
        <w:tc>
          <w:tcPr>
            <w:tcW w:w="9640" w:type="dxa"/>
            <w:gridSpan w:val="2"/>
            <w:tcBorders>
              <w:left w:val="single" w:sz="8" w:space="0" w:color="000000"/>
              <w:right w:val="single" w:sz="8" w:space="0" w:color="000000"/>
            </w:tcBorders>
            <w:shd w:val="clear" w:color="auto" w:fill="BEBEBE"/>
          </w:tcPr>
          <w:p w:rsidR="00AF0AD9" w:rsidRDefault="00AF0AD9" w:rsidP="00AF0AD9">
            <w:pPr>
              <w:pStyle w:val="TableParagraph"/>
              <w:spacing w:line="194" w:lineRule="exact"/>
              <w:ind w:left="2196"/>
              <w:rPr>
                <w:b/>
                <w:sz w:val="24"/>
                <w:szCs w:val="24"/>
                <w:lang w:val="pt-BR"/>
              </w:rPr>
            </w:pPr>
          </w:p>
          <w:p w:rsidR="00AF0AD9" w:rsidRPr="00ED1D4D" w:rsidRDefault="00AF0AD9" w:rsidP="00AF0AD9">
            <w:pPr>
              <w:pStyle w:val="TableParagraph"/>
              <w:spacing w:line="194" w:lineRule="exact"/>
              <w:ind w:left="2196"/>
              <w:rPr>
                <w:b/>
                <w:sz w:val="24"/>
                <w:szCs w:val="24"/>
                <w:lang w:val="pt-BR"/>
              </w:rPr>
            </w:pPr>
            <w:r w:rsidRPr="00ED1D4D">
              <w:rPr>
                <w:b/>
                <w:sz w:val="24"/>
                <w:szCs w:val="24"/>
                <w:lang w:val="pt-BR"/>
              </w:rPr>
              <w:t>PESSOAS JURÍDICAS OU A ESSAS EQUIPARADAS</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shd w:val="clear" w:color="auto" w:fill="9CC2E4"/>
          </w:tcPr>
          <w:p w:rsidR="00AF0AD9" w:rsidRPr="00ED1D4D" w:rsidRDefault="00AF0AD9" w:rsidP="00AF0AD9">
            <w:pPr>
              <w:pStyle w:val="TableParagraph"/>
              <w:spacing w:before="100"/>
              <w:ind w:left="2636" w:right="2617"/>
              <w:jc w:val="center"/>
              <w:rPr>
                <w:sz w:val="24"/>
                <w:szCs w:val="24"/>
              </w:rPr>
            </w:pPr>
            <w:r w:rsidRPr="00ED1D4D">
              <w:rPr>
                <w:sz w:val="24"/>
                <w:szCs w:val="24"/>
              </w:rPr>
              <w:t>LISTA DE SERVIÇOS</w:t>
            </w:r>
          </w:p>
        </w:tc>
        <w:tc>
          <w:tcPr>
            <w:tcW w:w="1984" w:type="dxa"/>
            <w:tcBorders>
              <w:left w:val="single" w:sz="8" w:space="0" w:color="000000"/>
              <w:right w:val="single" w:sz="8" w:space="0" w:color="000000"/>
            </w:tcBorders>
            <w:shd w:val="clear" w:color="auto" w:fill="9CC2E4"/>
          </w:tcPr>
          <w:p w:rsidR="00AF0AD9" w:rsidRPr="00ED1D4D" w:rsidRDefault="00AF0AD9" w:rsidP="00AF0AD9">
            <w:pPr>
              <w:pStyle w:val="TableParagraph"/>
              <w:spacing w:before="100"/>
              <w:ind w:right="273"/>
              <w:jc w:val="center"/>
              <w:rPr>
                <w:sz w:val="24"/>
                <w:szCs w:val="24"/>
              </w:rPr>
            </w:pPr>
            <w:r w:rsidRPr="00ED1D4D">
              <w:rPr>
                <w:sz w:val="24"/>
                <w:szCs w:val="24"/>
              </w:rPr>
              <w:t>ALÍQUOTA</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Default="00AF0AD9" w:rsidP="00AF0AD9">
            <w:pPr>
              <w:pStyle w:val="TableParagraph"/>
              <w:spacing w:before="100"/>
              <w:jc w:val="both"/>
              <w:rPr>
                <w:sz w:val="24"/>
                <w:szCs w:val="24"/>
                <w:lang w:val="pt-BR"/>
              </w:rPr>
            </w:pPr>
            <w:r w:rsidRPr="00ED1D4D">
              <w:rPr>
                <w:sz w:val="24"/>
                <w:szCs w:val="24"/>
                <w:lang w:val="pt-BR"/>
              </w:rPr>
              <w:t>1 – Serviços de informática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1.01 – Análise e desenvolvimento de sistemas.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hanging="5"/>
              <w:jc w:val="center"/>
              <w:rPr>
                <w:b/>
                <w:sz w:val="24"/>
                <w:szCs w:val="24"/>
                <w:lang w:val="pt-BR"/>
              </w:rPr>
            </w:pPr>
            <w:r w:rsidRPr="00ED1D4D">
              <w:rPr>
                <w:sz w:val="24"/>
                <w:szCs w:val="24"/>
                <w:lang w:val="pt-BR"/>
              </w:rPr>
              <w:t>3%</w:t>
            </w:r>
          </w:p>
        </w:tc>
      </w:tr>
      <w:tr w:rsidR="00AF0AD9" w:rsidRPr="00ED1D4D" w:rsidTr="004D0A82">
        <w:trPr>
          <w:gridAfter w:val="1"/>
          <w:wAfter w:w="445" w:type="dxa"/>
          <w:trHeight w:val="347"/>
        </w:trPr>
        <w:tc>
          <w:tcPr>
            <w:tcW w:w="7656" w:type="dxa"/>
            <w:tcBorders>
              <w:left w:val="single" w:sz="8" w:space="0" w:color="000000"/>
              <w:right w:val="single" w:sz="8" w:space="0" w:color="000000"/>
            </w:tcBorders>
          </w:tcPr>
          <w:p w:rsidR="00AF0AD9" w:rsidRDefault="00BB52F4" w:rsidP="00AF0AD9">
            <w:pPr>
              <w:pStyle w:val="TableParagraph"/>
              <w:spacing w:before="100"/>
              <w:jc w:val="both"/>
              <w:rPr>
                <w:sz w:val="24"/>
                <w:szCs w:val="24"/>
              </w:rPr>
            </w:pPr>
            <w:r>
              <w:rPr>
                <w:noProof/>
                <w:sz w:val="24"/>
                <w:szCs w:val="24"/>
                <w:lang w:val="pt-BR" w:bidi="ar-SA"/>
              </w:rPr>
              <mc:AlternateContent>
                <mc:Choice Requires="wps">
                  <w:drawing>
                    <wp:anchor distT="4294967294" distB="4294967294" distL="114300" distR="114300" simplePos="0" relativeHeight="251657728" behindDoc="1" locked="0" layoutInCell="1" allowOverlap="1">
                      <wp:simplePos x="0" y="0"/>
                      <wp:positionH relativeFrom="page">
                        <wp:posOffset>2766695</wp:posOffset>
                      </wp:positionH>
                      <wp:positionV relativeFrom="page">
                        <wp:posOffset>5389244</wp:posOffset>
                      </wp:positionV>
                      <wp:extent cx="2171700" cy="0"/>
                      <wp:effectExtent l="0" t="0" r="19050" b="1905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DDBD2" id="Line 6" o:spid="_x0000_s1026" style="position:absolute;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17.85pt,424.35pt" to="388.85pt,4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OsHgIAAEEEAAAOAAAAZHJzL2Uyb0RvYy54bWysU8GO2jAQvVfqP1i5QxKaB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" strokecolor="blue" strokeweight=".48pt">
                      <w10:wrap anchorx="page" anchory="page"/>
                    </v:line>
                  </w:pict>
                </mc:Fallback>
              </mc:AlternateContent>
            </w:r>
            <w:r w:rsidR="00AF0AD9" w:rsidRPr="00ED1D4D">
              <w:rPr>
                <w:sz w:val="24"/>
                <w:szCs w:val="24"/>
              </w:rPr>
              <w:t>1.02 – Programação.</w:t>
            </w:r>
          </w:p>
          <w:p w:rsidR="00AF0AD9" w:rsidRPr="00ED1D4D" w:rsidRDefault="00AF0AD9" w:rsidP="00AF0AD9">
            <w:pPr>
              <w:pStyle w:val="TableParagraph"/>
              <w:spacing w:before="100"/>
              <w:jc w:val="both"/>
              <w:rPr>
                <w:sz w:val="24"/>
                <w:szCs w:val="24"/>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1141"/>
        </w:trPr>
        <w:tc>
          <w:tcPr>
            <w:tcW w:w="7656" w:type="dxa"/>
            <w:tcBorders>
              <w:left w:val="single" w:sz="8" w:space="0" w:color="000000"/>
              <w:right w:val="single" w:sz="8" w:space="0" w:color="000000"/>
            </w:tcBorders>
          </w:tcPr>
          <w:p w:rsidR="00AF0AD9" w:rsidRPr="00ED1D4D" w:rsidRDefault="00AF0AD9" w:rsidP="00AF0AD9">
            <w:pPr>
              <w:pStyle w:val="TableParagraph"/>
              <w:spacing w:before="6"/>
              <w:jc w:val="both"/>
              <w:rPr>
                <w:sz w:val="24"/>
                <w:szCs w:val="24"/>
                <w:lang w:val="pt-BR"/>
              </w:rPr>
            </w:pPr>
          </w:p>
          <w:p w:rsidR="00AF0AD9" w:rsidRDefault="00AF0AD9" w:rsidP="00AF0AD9">
            <w:pPr>
              <w:pStyle w:val="TableParagraph"/>
              <w:spacing w:line="237" w:lineRule="auto"/>
              <w:ind w:right="49"/>
              <w:jc w:val="both"/>
              <w:rPr>
                <w:color w:val="0000FF"/>
                <w:sz w:val="24"/>
                <w:szCs w:val="24"/>
                <w:lang w:val="pt-BR"/>
              </w:rPr>
            </w:pPr>
            <w:r w:rsidRPr="00ED1D4D">
              <w:rPr>
                <w:sz w:val="24"/>
                <w:szCs w:val="24"/>
                <w:lang w:val="pt-BR"/>
              </w:rPr>
              <w:t>1.03 - Processamento, armazenamento ou hospedagem de dados, textos, imagens, vídeos, páginas eletrônicas, aplicativos e sistemas de informação, entre outros formatos, e congêneres.</w:t>
            </w:r>
            <w:r w:rsidRPr="00ED1D4D">
              <w:rPr>
                <w:color w:val="0000FF"/>
                <w:sz w:val="24"/>
                <w:szCs w:val="24"/>
                <w:lang w:val="pt-BR"/>
              </w:rPr>
              <w:t xml:space="preserve"> </w:t>
            </w:r>
          </w:p>
          <w:p w:rsidR="00AF0AD9" w:rsidRPr="00ED1D4D" w:rsidRDefault="00AF0AD9" w:rsidP="00AF0AD9">
            <w:pPr>
              <w:pStyle w:val="TableParagraph"/>
              <w:spacing w:line="237" w:lineRule="auto"/>
              <w:ind w:right="49"/>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ind w:hanging="5"/>
              <w:jc w:val="center"/>
              <w:rPr>
                <w:b/>
                <w:sz w:val="24"/>
                <w:szCs w:val="24"/>
              </w:rPr>
            </w:pPr>
            <w:r w:rsidRPr="00ED1D4D">
              <w:rPr>
                <w:b/>
                <w:sz w:val="24"/>
                <w:szCs w:val="24"/>
              </w:rPr>
              <w:t>3%</w:t>
            </w:r>
          </w:p>
        </w:tc>
      </w:tr>
      <w:tr w:rsidR="00AF0AD9" w:rsidRPr="00ED1D4D" w:rsidTr="004D0A82">
        <w:trPr>
          <w:gridAfter w:val="1"/>
          <w:wAfter w:w="445" w:type="dxa"/>
          <w:trHeight w:val="1339"/>
        </w:trPr>
        <w:tc>
          <w:tcPr>
            <w:tcW w:w="7656" w:type="dxa"/>
            <w:tcBorders>
              <w:left w:val="single" w:sz="8" w:space="0" w:color="000000"/>
              <w:right w:val="single" w:sz="8" w:space="0" w:color="000000"/>
            </w:tcBorders>
          </w:tcPr>
          <w:p w:rsidR="00AF0AD9" w:rsidRPr="00ED1D4D" w:rsidRDefault="00AF0AD9" w:rsidP="00AF0AD9">
            <w:pPr>
              <w:pStyle w:val="TableParagraph"/>
              <w:spacing w:before="4"/>
              <w:jc w:val="both"/>
              <w:rPr>
                <w:sz w:val="24"/>
                <w:szCs w:val="24"/>
                <w:lang w:val="pt-BR"/>
              </w:rPr>
            </w:pPr>
          </w:p>
          <w:p w:rsidR="00AF0AD9" w:rsidRPr="00ED1D4D" w:rsidRDefault="00AF0AD9" w:rsidP="00AF0AD9">
            <w:pPr>
              <w:pStyle w:val="TableParagraph"/>
              <w:ind w:right="48"/>
              <w:jc w:val="both"/>
              <w:rPr>
                <w:sz w:val="24"/>
                <w:szCs w:val="24"/>
                <w:lang w:val="pt-BR"/>
              </w:rPr>
            </w:pPr>
            <w:r w:rsidRPr="00ED1D4D">
              <w:rPr>
                <w:sz w:val="24"/>
                <w:szCs w:val="24"/>
                <w:lang w:val="pt-BR"/>
              </w:rPr>
              <w:t>1.04 - Elaboração de programas de computadores, inclusive de jogos eletrônicos, independentemente da arquitetura construtiva da máquina em que o programa será executado, incluindo tablets, smartphones e congêneres.</w:t>
            </w:r>
            <w:r w:rsidRPr="00ED1D4D">
              <w:rPr>
                <w:color w:val="0000FF"/>
                <w:sz w:val="24"/>
                <w:szCs w:val="24"/>
                <w:lang w:val="pt-BR"/>
              </w:rPr>
              <w:t xml:space="preserve"> </w:t>
            </w:r>
          </w:p>
        </w:tc>
        <w:tc>
          <w:tcPr>
            <w:tcW w:w="1984" w:type="dxa"/>
            <w:tcBorders>
              <w:left w:val="single" w:sz="8" w:space="0" w:color="000000"/>
              <w:right w:val="single" w:sz="8" w:space="0" w:color="000000"/>
            </w:tcBorders>
          </w:tcPr>
          <w:p w:rsidR="00AF0AD9" w:rsidRPr="00ED1D4D" w:rsidRDefault="00AF0AD9" w:rsidP="00AF0AD9">
            <w:pPr>
              <w:pStyle w:val="TableParagraph"/>
              <w:ind w:hanging="5"/>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1.05 – Licenciamento ou cessão de direito de uso de programas de computação.</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hanging="5"/>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1.06 – Assessoria e consultoria em informática.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hanging="5"/>
              <w:jc w:val="center"/>
              <w:rPr>
                <w:b/>
                <w:sz w:val="24"/>
                <w:szCs w:val="24"/>
                <w:lang w:val="pt-BR"/>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1.07 – Suporte técnico em informática, inclusive instalação, configuração e manutenção de programas de computação e bancos de dados.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hanging="5"/>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1.08 – Planejamento, confecção, manutenção e atualização de páginas eletrônicas.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hanging="5"/>
              <w:jc w:val="center"/>
              <w:rPr>
                <w:b/>
                <w:sz w:val="24"/>
                <w:szCs w:val="24"/>
                <w:lang w:val="pt-BR"/>
              </w:rPr>
            </w:pPr>
            <w:r w:rsidRPr="00ED1D4D">
              <w:rPr>
                <w:b/>
                <w:sz w:val="24"/>
                <w:szCs w:val="24"/>
              </w:rPr>
              <w:t>3%</w:t>
            </w:r>
          </w:p>
        </w:tc>
      </w:tr>
      <w:tr w:rsidR="00AF0AD9" w:rsidRPr="00ED1D4D" w:rsidTr="004D0A82">
        <w:trPr>
          <w:gridAfter w:val="1"/>
          <w:wAfter w:w="445" w:type="dxa"/>
          <w:trHeight w:val="1170"/>
        </w:trPr>
        <w:tc>
          <w:tcPr>
            <w:tcW w:w="7656" w:type="dxa"/>
            <w:tcBorders>
              <w:left w:val="single" w:sz="8" w:space="0" w:color="000000"/>
              <w:right w:val="single" w:sz="8" w:space="0" w:color="000000"/>
            </w:tcBorders>
          </w:tcPr>
          <w:p w:rsidR="00AF0AD9" w:rsidRPr="00EA3B5B" w:rsidRDefault="00AF0AD9" w:rsidP="00AF0AD9">
            <w:pPr>
              <w:pStyle w:val="TableParagraph"/>
              <w:spacing w:before="100"/>
              <w:ind w:right="335"/>
              <w:jc w:val="both"/>
              <w:rPr>
                <w:color w:val="0000FF"/>
                <w:sz w:val="24"/>
                <w:szCs w:val="24"/>
                <w:lang w:val="pt-BR"/>
              </w:rPr>
            </w:pPr>
            <w:r w:rsidRPr="00ED1D4D">
              <w:rPr>
                <w:sz w:val="24"/>
                <w:szCs w:val="24"/>
                <w:lang w:val="pt-BR"/>
              </w:rPr>
              <w:t xml:space="preserve">1.09 - Disponibilização, sem cessão definitiva, de conteúdos de áudio, vídeo, imagem e texto por meio da internet, respeitada a imunidade de livros, jornais e periódicos (exceto a distribuição de conteúdos pelas prestadoras de Serviço de Acesso Condicionado, de que trata a </w:t>
            </w:r>
            <w:r w:rsidRPr="006A4446">
              <w:rPr>
                <w:color w:val="000000" w:themeColor="text1"/>
                <w:sz w:val="24"/>
                <w:szCs w:val="24"/>
                <w:lang w:val="pt-BR"/>
              </w:rPr>
              <w:t>Lei n</w:t>
            </w:r>
            <w:r w:rsidRPr="006A4446">
              <w:rPr>
                <w:color w:val="000000" w:themeColor="text1"/>
                <w:position w:val="6"/>
                <w:sz w:val="24"/>
                <w:szCs w:val="24"/>
                <w:lang w:val="pt-BR"/>
              </w:rPr>
              <w:t xml:space="preserve">o </w:t>
            </w:r>
            <w:r w:rsidRPr="006A4446">
              <w:rPr>
                <w:color w:val="000000" w:themeColor="text1"/>
                <w:sz w:val="24"/>
                <w:szCs w:val="24"/>
                <w:lang w:val="pt-BR"/>
              </w:rPr>
              <w:t>12.485, de 12 de setembro de 2011</w:t>
            </w:r>
            <w:r w:rsidRPr="00ED1D4D">
              <w:rPr>
                <w:sz w:val="24"/>
                <w:szCs w:val="24"/>
                <w:lang w:val="pt-BR"/>
              </w:rPr>
              <w:t>, sujeita ao ICMS).</w:t>
            </w:r>
            <w:hyperlink r:id="rId7" w:anchor="art3">
              <w:r w:rsidRPr="00ED1D4D">
                <w:rPr>
                  <w:color w:val="0000FF"/>
                  <w:sz w:val="24"/>
                  <w:szCs w:val="24"/>
                  <w:lang w:val="pt-BR"/>
                </w:rPr>
                <w:t xml:space="preserve"> </w:t>
              </w:r>
            </w:hyperlink>
          </w:p>
          <w:p w:rsidR="00AF0AD9" w:rsidRPr="00ED1D4D" w:rsidRDefault="00AF0AD9" w:rsidP="00AF0AD9">
            <w:pPr>
              <w:pStyle w:val="TableParagraph"/>
              <w:spacing w:before="100"/>
              <w:ind w:right="33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3"/>
              <w:jc w:val="both"/>
              <w:rPr>
                <w:sz w:val="24"/>
                <w:szCs w:val="24"/>
                <w:lang w:val="pt-BR"/>
              </w:rPr>
            </w:pPr>
            <w:r w:rsidRPr="00ED1D4D">
              <w:rPr>
                <w:sz w:val="24"/>
                <w:szCs w:val="24"/>
                <w:lang w:val="pt-BR"/>
              </w:rPr>
              <w:t>2 – Serviços de pesquisas e desenvolvimento de qualquer natureza.</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ind w:hanging="5"/>
              <w:jc w:val="center"/>
              <w:rPr>
                <w:sz w:val="24"/>
                <w:szCs w:val="24"/>
                <w:lang w:val="pt-BR"/>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2.01 – Serviços de pesquisas e desenvolvimento de qualquer natureza.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hanging="5"/>
              <w:jc w:val="center"/>
              <w:rPr>
                <w:b/>
                <w:sz w:val="24"/>
                <w:szCs w:val="24"/>
                <w:lang w:val="pt-BR"/>
              </w:rPr>
            </w:pPr>
            <w:r w:rsidRPr="00ED1D4D">
              <w:rPr>
                <w:b/>
                <w:sz w:val="24"/>
                <w:szCs w:val="24"/>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3"/>
              <w:jc w:val="both"/>
              <w:rPr>
                <w:sz w:val="24"/>
                <w:szCs w:val="24"/>
                <w:lang w:val="pt-BR"/>
              </w:rPr>
            </w:pPr>
            <w:r w:rsidRPr="00ED1D4D">
              <w:rPr>
                <w:sz w:val="24"/>
                <w:szCs w:val="24"/>
                <w:lang w:val="pt-BR"/>
              </w:rPr>
              <w:lastRenderedPageBreak/>
              <w:t>3 – Serviços prestados mediante locação, cessão de direito de uso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ind w:hanging="5"/>
              <w:jc w:val="center"/>
              <w:rPr>
                <w:sz w:val="24"/>
                <w:szCs w:val="24"/>
                <w:lang w:val="pt-BR"/>
              </w:rPr>
            </w:pPr>
          </w:p>
        </w:tc>
      </w:tr>
      <w:tr w:rsidR="00AF0AD9" w:rsidRPr="00ED1D4D" w:rsidTr="004D0A82">
        <w:trPr>
          <w:gridAfter w:val="1"/>
          <w:wAfter w:w="445" w:type="dxa"/>
          <w:trHeight w:val="474"/>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3.01 – (VETADO)</w:t>
            </w:r>
          </w:p>
        </w:tc>
        <w:tc>
          <w:tcPr>
            <w:tcW w:w="1984" w:type="dxa"/>
            <w:tcBorders>
              <w:left w:val="single" w:sz="8" w:space="0" w:color="000000"/>
              <w:right w:val="single" w:sz="8" w:space="0" w:color="000000"/>
            </w:tcBorders>
          </w:tcPr>
          <w:p w:rsidR="00AF0AD9" w:rsidRPr="00ED1D4D" w:rsidRDefault="00AF0AD9" w:rsidP="00AF0AD9">
            <w:pPr>
              <w:pStyle w:val="TableParagraph"/>
              <w:ind w:right="273"/>
              <w:jc w:val="center"/>
              <w:rPr>
                <w:sz w:val="24"/>
                <w:szCs w:val="24"/>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lang w:val="pt-BR"/>
              </w:rPr>
            </w:pPr>
            <w:r w:rsidRPr="00ED1D4D">
              <w:rPr>
                <w:sz w:val="24"/>
                <w:szCs w:val="24"/>
                <w:lang w:val="pt-BR"/>
              </w:rPr>
              <w:t>3.02 – Cessão de direito de uso de marcas e de sinais de propaganda.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b/>
                <w:sz w:val="24"/>
                <w:szCs w:val="24"/>
              </w:rPr>
              <w:t>3%</w:t>
            </w:r>
          </w:p>
        </w:tc>
      </w:tr>
      <w:tr w:rsidR="00AF0AD9" w:rsidRPr="00ED1D4D" w:rsidTr="004D0A82">
        <w:trPr>
          <w:gridAfter w:val="1"/>
          <w:wAfter w:w="445" w:type="dxa"/>
          <w:trHeight w:val="978"/>
        </w:trPr>
        <w:tc>
          <w:tcPr>
            <w:tcW w:w="7656" w:type="dxa"/>
            <w:tcBorders>
              <w:left w:val="single" w:sz="8" w:space="0" w:color="000000"/>
              <w:right w:val="single" w:sz="8" w:space="0" w:color="000000"/>
            </w:tcBorders>
          </w:tcPr>
          <w:p w:rsidR="00AF0AD9" w:rsidRDefault="00AF0AD9" w:rsidP="00AF0AD9">
            <w:pPr>
              <w:pStyle w:val="TableParagraph"/>
              <w:spacing w:before="100"/>
              <w:ind w:right="405"/>
              <w:jc w:val="both"/>
              <w:rPr>
                <w:sz w:val="24"/>
                <w:szCs w:val="24"/>
                <w:lang w:val="pt-BR"/>
              </w:rPr>
            </w:pPr>
            <w:r w:rsidRPr="00ED1D4D">
              <w:rPr>
                <w:sz w:val="24"/>
                <w:szCs w:val="24"/>
                <w:lang w:val="pt-BR"/>
              </w:rPr>
              <w:t>3.03 – Exploração de salões de festas, centro de convenções, escritórios virtuais, stands</w:t>
            </w:r>
            <w:r w:rsidRPr="00ED1D4D">
              <w:rPr>
                <w:i/>
                <w:sz w:val="24"/>
                <w:szCs w:val="24"/>
                <w:lang w:val="pt-BR"/>
              </w:rPr>
              <w:t xml:space="preserve">, </w:t>
            </w:r>
            <w:r w:rsidRPr="00ED1D4D">
              <w:rPr>
                <w:sz w:val="24"/>
                <w:szCs w:val="24"/>
                <w:lang w:val="pt-BR"/>
              </w:rPr>
              <w:t>quadras esportivas, estádios, ginásios, auditórios, casas de espetáculos, parques de diversões, canchas e congêneres, para realização de eventos ou negócios de qualquer natureza.</w:t>
            </w:r>
          </w:p>
          <w:p w:rsidR="00AF0AD9" w:rsidRPr="00ED1D4D" w:rsidRDefault="00AF0AD9" w:rsidP="00AF0AD9">
            <w:pPr>
              <w:pStyle w:val="TableParagraph"/>
              <w:spacing w:before="100"/>
              <w:ind w:right="40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3.04 – Locação, sublocação, arrendamento, direito de passagem ou permissão de uso, compartilhado ou não, de ferrovia, rodovia, postes, cabos, dutos e condutos de qualquer natureza.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3.05 – Cessão de andaimes, palcos, coberturas e outras estruturas de uso temporário.</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4 – Serviços de saúde, assistência médica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4.01 – Medicina e biomedicina.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ind w:right="92"/>
              <w:jc w:val="both"/>
              <w:rPr>
                <w:sz w:val="24"/>
                <w:szCs w:val="24"/>
                <w:lang w:val="pt-BR"/>
              </w:rPr>
            </w:pPr>
            <w:r w:rsidRPr="00ED1D4D">
              <w:rPr>
                <w:sz w:val="24"/>
                <w:szCs w:val="24"/>
                <w:lang w:val="pt-BR"/>
              </w:rPr>
              <w:t>4.02 – Análises clínicas, patologia, eletricidade médica, radioterapia, quimioterapia, ultra-sonografia, ressonância magnética, radiologia, tomografia e congêneres.</w:t>
            </w:r>
          </w:p>
          <w:p w:rsidR="00AF0AD9" w:rsidRPr="00ED1D4D" w:rsidRDefault="00AF0AD9" w:rsidP="00AF0AD9">
            <w:pPr>
              <w:pStyle w:val="TableParagraph"/>
              <w:spacing w:before="102" w:line="237" w:lineRule="auto"/>
              <w:ind w:right="92"/>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395"/>
              <w:jc w:val="both"/>
              <w:rPr>
                <w:sz w:val="24"/>
                <w:szCs w:val="24"/>
                <w:lang w:val="pt-BR"/>
              </w:rPr>
            </w:pPr>
            <w:r w:rsidRPr="00ED1D4D">
              <w:rPr>
                <w:sz w:val="24"/>
                <w:szCs w:val="24"/>
                <w:lang w:val="pt-BR"/>
              </w:rPr>
              <w:t>4.03 – Hospitais, clínicas, laboratórios, sanatórios, manicômios, casas de saúde, prontos-socorros, ambulatórios e congêneres.</w:t>
            </w:r>
          </w:p>
          <w:p w:rsidR="00AF0AD9" w:rsidRPr="00ED1D4D" w:rsidRDefault="00AF0AD9" w:rsidP="00AF0AD9">
            <w:pPr>
              <w:pStyle w:val="TableParagraph"/>
              <w:spacing w:before="100"/>
              <w:ind w:right="39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4.04 – Instrumentação cirúrgica.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4.05 – Acupuntura.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4.06 – Enfermagem, inclusive serviços auxiliares.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4.07 – Serviços farmacêuticos.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4.08 – Terapia ocupacional, fisioterapia e fonoaudiologia.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ind w:right="-10"/>
              <w:jc w:val="center"/>
              <w:rPr>
                <w:b/>
                <w:sz w:val="24"/>
                <w:szCs w:val="24"/>
                <w:lang w:val="pt-BR"/>
              </w:rPr>
            </w:pPr>
            <w:r w:rsidRPr="00ED1D4D">
              <w:rPr>
                <w:b/>
                <w:sz w:val="24"/>
                <w:szCs w:val="24"/>
              </w:rPr>
              <w:t>3%</w:t>
            </w:r>
          </w:p>
        </w:tc>
      </w:tr>
      <w:tr w:rsidR="00AF0AD9" w:rsidRPr="00ED1D4D" w:rsidTr="004D0A82">
        <w:trPr>
          <w:gridAfter w:val="1"/>
          <w:wAfter w:w="445" w:type="dxa"/>
          <w:trHeight w:val="588"/>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jc w:val="both"/>
              <w:rPr>
                <w:sz w:val="24"/>
                <w:szCs w:val="24"/>
                <w:lang w:val="pt-BR"/>
              </w:rPr>
            </w:pPr>
            <w:r w:rsidRPr="00ED1D4D">
              <w:rPr>
                <w:sz w:val="24"/>
                <w:szCs w:val="24"/>
                <w:lang w:val="pt-BR"/>
              </w:rPr>
              <w:t>4.09 – Terapias de qualquer espécie destinadas ao tratamento físico, orgânico e mental.</w:t>
            </w:r>
          </w:p>
          <w:p w:rsidR="00AF0AD9" w:rsidRPr="00ED1D4D" w:rsidRDefault="00AF0AD9" w:rsidP="00AF0AD9">
            <w:pPr>
              <w:pStyle w:val="TableParagraph"/>
              <w:spacing w:before="102" w:line="237" w:lineRule="auto"/>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4.10 – Nutrição.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4.11 – Obstetrícia.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4.12 – Odontologia.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lastRenderedPageBreak/>
              <w:t>4.13 – Ortóptica.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4.14 – Próteses sob encomenda.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4.15 – Psicanálise.</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4.16 – Psicologia.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4.17 – Casas de repouso e de recuperação, creches, asilos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6"/>
        </w:trPr>
        <w:tc>
          <w:tcPr>
            <w:tcW w:w="7656" w:type="dxa"/>
            <w:tcBorders>
              <w:left w:val="single" w:sz="8" w:space="0" w:color="000000"/>
              <w:right w:val="single" w:sz="8" w:space="0" w:color="000000"/>
            </w:tcBorders>
          </w:tcPr>
          <w:p w:rsidR="00AF0AD9" w:rsidRPr="00ED1D4D" w:rsidRDefault="00AF0AD9" w:rsidP="00AF0AD9">
            <w:pPr>
              <w:pStyle w:val="TableParagraph"/>
              <w:spacing w:before="101"/>
              <w:jc w:val="both"/>
              <w:rPr>
                <w:sz w:val="24"/>
                <w:szCs w:val="24"/>
                <w:lang w:val="pt-BR"/>
              </w:rPr>
            </w:pPr>
            <w:r w:rsidRPr="00ED1D4D">
              <w:rPr>
                <w:sz w:val="24"/>
                <w:szCs w:val="24"/>
                <w:lang w:val="pt-BR"/>
              </w:rPr>
              <w:t>4.18 – Inseminação artificial, fertilização in vitro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lang w:val="pt-BR"/>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4.19 – Bancos de sangue, leite, pele, olhos, óvulos, sêmen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ind w:right="405"/>
              <w:jc w:val="both"/>
              <w:rPr>
                <w:sz w:val="24"/>
                <w:szCs w:val="24"/>
                <w:lang w:val="pt-BR"/>
              </w:rPr>
            </w:pPr>
            <w:r w:rsidRPr="00ED1D4D">
              <w:rPr>
                <w:sz w:val="24"/>
                <w:szCs w:val="24"/>
                <w:lang w:val="pt-BR"/>
              </w:rPr>
              <w:t>4.20 – Coleta de sangue, leite, tecidos, sêmen, órgãos e materiais biológicos de qualquer espécie.</w:t>
            </w:r>
          </w:p>
          <w:p w:rsidR="00AF0AD9" w:rsidRPr="00ED1D4D" w:rsidRDefault="00AF0AD9" w:rsidP="00AF0AD9">
            <w:pPr>
              <w:pStyle w:val="TableParagraph"/>
              <w:spacing w:before="104" w:line="237" w:lineRule="auto"/>
              <w:ind w:right="40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4.21 – Unidade de atendimento, assistência ou tratamento móvel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ind w:right="375"/>
              <w:jc w:val="both"/>
              <w:rPr>
                <w:sz w:val="24"/>
                <w:szCs w:val="24"/>
                <w:lang w:val="pt-BR"/>
              </w:rPr>
            </w:pPr>
            <w:r w:rsidRPr="00ED1D4D">
              <w:rPr>
                <w:sz w:val="24"/>
                <w:szCs w:val="24"/>
                <w:lang w:val="pt-BR"/>
              </w:rPr>
              <w:t>4.22 – Planos de medicina de grupo ou individual e convênios para prestação de assistência médica, hospitalar, odontológica e congêneres.</w:t>
            </w:r>
          </w:p>
          <w:p w:rsidR="00AF0AD9" w:rsidRPr="00ED1D4D" w:rsidRDefault="00AF0AD9" w:rsidP="00AF0AD9">
            <w:pPr>
              <w:pStyle w:val="TableParagraph"/>
              <w:spacing w:before="104" w:line="237" w:lineRule="auto"/>
              <w:ind w:right="37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b/>
                <w:sz w:val="24"/>
                <w:szCs w:val="24"/>
              </w:rPr>
              <w:t>3%</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0"/>
              <w:ind w:right="389"/>
              <w:jc w:val="both"/>
              <w:rPr>
                <w:sz w:val="24"/>
                <w:szCs w:val="24"/>
                <w:lang w:val="pt-BR"/>
              </w:rPr>
            </w:pPr>
            <w:r w:rsidRPr="00ED1D4D">
              <w:rPr>
                <w:sz w:val="24"/>
                <w:szCs w:val="24"/>
                <w:lang w:val="pt-BR"/>
              </w:rPr>
              <w:t>4.23 – Outros planos de saúde que se cumpram através de serviços de</w:t>
            </w:r>
            <w:r w:rsidRPr="00ED1D4D">
              <w:rPr>
                <w:spacing w:val="-32"/>
                <w:sz w:val="24"/>
                <w:szCs w:val="24"/>
                <w:lang w:val="pt-BR"/>
              </w:rPr>
              <w:t xml:space="preserve"> </w:t>
            </w:r>
            <w:r w:rsidRPr="00ED1D4D">
              <w:rPr>
                <w:sz w:val="24"/>
                <w:szCs w:val="24"/>
                <w:lang w:val="pt-BR"/>
              </w:rPr>
              <w:t>terceiros contratados, credenciados, cooperados ou apenas pagos pelo operador do plano mediante indicação do</w:t>
            </w:r>
            <w:r w:rsidRPr="00ED1D4D">
              <w:rPr>
                <w:spacing w:val="-2"/>
                <w:sz w:val="24"/>
                <w:szCs w:val="24"/>
                <w:lang w:val="pt-BR"/>
              </w:rPr>
              <w:t xml:space="preserve"> </w:t>
            </w:r>
            <w:r w:rsidRPr="00ED1D4D">
              <w:rPr>
                <w:sz w:val="24"/>
                <w:szCs w:val="24"/>
                <w:lang w:val="pt-BR"/>
              </w:rPr>
              <w:t>beneficiário.</w:t>
            </w:r>
          </w:p>
          <w:p w:rsidR="00AF0AD9" w:rsidRPr="00ED1D4D" w:rsidRDefault="00AF0AD9" w:rsidP="00AF0AD9">
            <w:pPr>
              <w:pStyle w:val="TableParagraph"/>
              <w:spacing w:before="100"/>
              <w:ind w:right="389"/>
              <w:jc w:val="both"/>
              <w:rPr>
                <w:sz w:val="24"/>
                <w:szCs w:val="24"/>
                <w:lang w:val="pt-BR"/>
              </w:rPr>
            </w:pPr>
          </w:p>
        </w:tc>
        <w:tc>
          <w:tcPr>
            <w:tcW w:w="1984" w:type="dxa"/>
            <w:tcBorders>
              <w:left w:val="single" w:sz="8" w:space="0" w:color="000000"/>
              <w:right w:val="single" w:sz="8" w:space="0" w:color="000000"/>
            </w:tcBorders>
          </w:tcPr>
          <w:p w:rsidR="00AF0AD9" w:rsidRPr="00ED1D4D" w:rsidRDefault="00397BA7" w:rsidP="00AF0AD9">
            <w:pPr>
              <w:pStyle w:val="TableParagraph"/>
              <w:spacing w:before="100"/>
              <w:jc w:val="center"/>
              <w:rPr>
                <w:b/>
                <w:sz w:val="24"/>
                <w:szCs w:val="24"/>
                <w:lang w:val="pt-BR"/>
              </w:rPr>
            </w:pPr>
            <w:r>
              <w:rPr>
                <w:b/>
                <w:sz w:val="24"/>
                <w:szCs w:val="24"/>
              </w:rPr>
              <w:t>5</w:t>
            </w:r>
            <w:r w:rsidR="00AF0AD9" w:rsidRPr="00ED1D4D">
              <w:rPr>
                <w:b/>
                <w:sz w:val="24"/>
                <w:szCs w:val="24"/>
              </w:rPr>
              <w:t>%</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5 – Serviços de medicina e assistência veterinária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6"/>
        </w:trPr>
        <w:tc>
          <w:tcPr>
            <w:tcW w:w="7656" w:type="dxa"/>
            <w:tcBorders>
              <w:left w:val="single" w:sz="8" w:space="0" w:color="000000"/>
              <w:right w:val="single" w:sz="8" w:space="0" w:color="000000"/>
            </w:tcBorders>
          </w:tcPr>
          <w:p w:rsidR="00AF0AD9" w:rsidRPr="00ED1D4D" w:rsidRDefault="00AF0AD9" w:rsidP="00AF0AD9">
            <w:pPr>
              <w:pStyle w:val="TableParagraph"/>
              <w:spacing w:before="101"/>
              <w:jc w:val="both"/>
              <w:rPr>
                <w:sz w:val="24"/>
                <w:szCs w:val="24"/>
              </w:rPr>
            </w:pPr>
            <w:r w:rsidRPr="00ED1D4D">
              <w:rPr>
                <w:sz w:val="24"/>
                <w:szCs w:val="24"/>
              </w:rPr>
              <w:t>5.01 – Medicina veterinária e zootecnia.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2" w:line="237" w:lineRule="auto"/>
              <w:ind w:right="373"/>
              <w:jc w:val="both"/>
              <w:rPr>
                <w:sz w:val="24"/>
                <w:szCs w:val="24"/>
                <w:lang w:val="pt-BR"/>
              </w:rPr>
            </w:pPr>
            <w:r w:rsidRPr="00ED1D4D">
              <w:rPr>
                <w:sz w:val="24"/>
                <w:szCs w:val="24"/>
                <w:lang w:val="pt-BR"/>
              </w:rPr>
              <w:t>5.02 – Hospitais, clínicas, ambulatórios, prontos-socorros e congêneres, na área veterinária.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5.03 – Laboratórios de análise na área veterinária.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5.04 – Inseminação artificial, fertilização in vitro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5.05 – Bancos de sangue e de órgãos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405"/>
              <w:jc w:val="both"/>
              <w:rPr>
                <w:sz w:val="24"/>
                <w:szCs w:val="24"/>
                <w:lang w:val="pt-BR"/>
              </w:rPr>
            </w:pPr>
            <w:r w:rsidRPr="00ED1D4D">
              <w:rPr>
                <w:sz w:val="24"/>
                <w:szCs w:val="24"/>
                <w:lang w:val="pt-BR"/>
              </w:rPr>
              <w:t>5.06 – Coleta de sangue, leite, tecidos, sêmen, órgãos e materiais biológicos de qualquer espécie.</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5.07 – Unidade de atendimento, assistência ou tratamento móvel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2" w:line="237" w:lineRule="auto"/>
              <w:jc w:val="both"/>
              <w:rPr>
                <w:sz w:val="24"/>
                <w:szCs w:val="24"/>
                <w:lang w:val="pt-BR"/>
              </w:rPr>
            </w:pPr>
            <w:r w:rsidRPr="00ED1D4D">
              <w:rPr>
                <w:sz w:val="24"/>
                <w:szCs w:val="24"/>
                <w:lang w:val="pt-BR"/>
              </w:rPr>
              <w:t>5.08 – Guarda, tratamento, amestramento, embelezamento, alojamento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5.09 – Planos de atendimento e assistência médico-veterinária.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6 – Serviços de cuidados pessoais, estética, atividades físicas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6.01 – Barbearia, cabeleireiros, manicuros, pedicuros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1"/>
              <w:jc w:val="both"/>
              <w:rPr>
                <w:sz w:val="24"/>
                <w:szCs w:val="24"/>
                <w:lang w:val="pt-BR"/>
              </w:rPr>
            </w:pPr>
            <w:r w:rsidRPr="00ED1D4D">
              <w:rPr>
                <w:sz w:val="24"/>
                <w:szCs w:val="24"/>
                <w:lang w:val="pt-BR"/>
              </w:rPr>
              <w:t>6.02 – Esteticistas, tratamento de pele, depilação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lastRenderedPageBreak/>
              <w:t>6.03 – Banhos, duchas, sauna, massagens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509"/>
              <w:jc w:val="both"/>
              <w:rPr>
                <w:sz w:val="24"/>
                <w:szCs w:val="24"/>
                <w:lang w:val="pt-BR"/>
              </w:rPr>
            </w:pPr>
            <w:r w:rsidRPr="00ED1D4D">
              <w:rPr>
                <w:sz w:val="24"/>
                <w:szCs w:val="24"/>
                <w:lang w:val="pt-BR"/>
              </w:rPr>
              <w:t>6.04 – Ginástica, dança, esportes, natação, artes marciais e demais atividades físicas.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6.05 – Centros de emagrecimento, spa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b/>
                <w:sz w:val="24"/>
                <w:szCs w:val="24"/>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6.06 - Aplicação de tatuagens, piercings e congêneres.</w:t>
            </w:r>
            <w:r w:rsidRPr="00ED1D4D">
              <w:rPr>
                <w:color w:val="0000FF"/>
                <w:sz w:val="24"/>
                <w:szCs w:val="24"/>
                <w:lang w:val="pt-BR"/>
              </w:rPr>
              <w:t xml:space="preserve"> </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b/>
                <w:sz w:val="24"/>
                <w:szCs w:val="24"/>
              </w:rPr>
              <w:t>3%</w:t>
            </w:r>
          </w:p>
        </w:tc>
      </w:tr>
      <w:tr w:rsidR="00AF0AD9" w:rsidRPr="00ED1D4D" w:rsidTr="004D0A82">
        <w:trPr>
          <w:gridAfter w:val="1"/>
          <w:wAfter w:w="445" w:type="dxa"/>
          <w:trHeight w:val="590"/>
        </w:trPr>
        <w:tc>
          <w:tcPr>
            <w:tcW w:w="7656" w:type="dxa"/>
            <w:tcBorders>
              <w:left w:val="single" w:sz="8" w:space="0" w:color="000000"/>
              <w:bottom w:val="single" w:sz="4" w:space="0" w:color="000009"/>
              <w:right w:val="single" w:sz="8" w:space="0" w:color="000000"/>
            </w:tcBorders>
            <w:shd w:val="clear" w:color="auto" w:fill="D9D9D9"/>
          </w:tcPr>
          <w:p w:rsidR="00AF0AD9" w:rsidRDefault="00AF0AD9" w:rsidP="00AF0AD9">
            <w:pPr>
              <w:pStyle w:val="TableParagraph"/>
              <w:spacing w:before="100"/>
              <w:jc w:val="both"/>
              <w:rPr>
                <w:sz w:val="24"/>
                <w:szCs w:val="24"/>
                <w:lang w:val="pt-BR"/>
              </w:rPr>
            </w:pPr>
            <w:r w:rsidRPr="00ED1D4D">
              <w:rPr>
                <w:sz w:val="24"/>
                <w:szCs w:val="24"/>
                <w:lang w:val="pt-BR"/>
              </w:rPr>
              <w:t>7 – Serviços relativos a engenharia, arquitetura, geologia, urbanismo, construção civil, manutenção, limpeza, meio ambiente, saneamento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bottom w:val="single" w:sz="4" w:space="0" w:color="000009"/>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840"/>
        </w:trPr>
        <w:tc>
          <w:tcPr>
            <w:tcW w:w="7656" w:type="dxa"/>
            <w:tcBorders>
              <w:top w:val="single" w:sz="4" w:space="0" w:color="000009"/>
              <w:left w:val="single" w:sz="8" w:space="0" w:color="000000"/>
              <w:bottom w:val="single" w:sz="4" w:space="0" w:color="000009"/>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7.01 – Engenharia, agronomia, agrimensura, arquitetura, geologia, urbanismo, paisagismo e congêneres.</w:t>
            </w:r>
          </w:p>
        </w:tc>
        <w:tc>
          <w:tcPr>
            <w:tcW w:w="1984" w:type="dxa"/>
            <w:tcBorders>
              <w:top w:val="single" w:sz="4" w:space="0" w:color="000009"/>
              <w:left w:val="single" w:sz="8" w:space="0" w:color="000000"/>
              <w:bottom w:val="single" w:sz="4" w:space="0" w:color="000009"/>
              <w:right w:val="single" w:sz="8" w:space="0" w:color="000000"/>
            </w:tcBorders>
          </w:tcPr>
          <w:p w:rsidR="00AF0AD9" w:rsidRPr="004D0A82" w:rsidRDefault="00AF0AD9" w:rsidP="00AF0AD9">
            <w:pPr>
              <w:pStyle w:val="TableParagraph"/>
              <w:spacing w:before="100"/>
              <w:jc w:val="center"/>
              <w:rPr>
                <w:b/>
                <w:sz w:val="24"/>
                <w:szCs w:val="24"/>
                <w:lang w:val="pt-BR"/>
              </w:rPr>
            </w:pPr>
            <w:r w:rsidRPr="004D0A82">
              <w:rPr>
                <w:b/>
                <w:sz w:val="24"/>
                <w:szCs w:val="24"/>
              </w:rPr>
              <w:t>2%</w:t>
            </w:r>
          </w:p>
        </w:tc>
      </w:tr>
      <w:tr w:rsidR="00AF0AD9" w:rsidRPr="00ED1D4D" w:rsidTr="004D0A82">
        <w:trPr>
          <w:gridAfter w:val="1"/>
          <w:wAfter w:w="445" w:type="dxa"/>
          <w:trHeight w:val="1367"/>
        </w:trPr>
        <w:tc>
          <w:tcPr>
            <w:tcW w:w="7656" w:type="dxa"/>
            <w:tcBorders>
              <w:top w:val="single" w:sz="4" w:space="0" w:color="000009"/>
              <w:left w:val="single" w:sz="8" w:space="0" w:color="000000"/>
              <w:right w:val="single" w:sz="8" w:space="0" w:color="000000"/>
            </w:tcBorders>
          </w:tcPr>
          <w:p w:rsidR="00AF0AD9" w:rsidRDefault="00AF0AD9" w:rsidP="00AF0AD9">
            <w:pPr>
              <w:pStyle w:val="TableParagraph"/>
              <w:spacing w:before="100"/>
              <w:ind w:right="110"/>
              <w:jc w:val="both"/>
              <w:rPr>
                <w:sz w:val="24"/>
                <w:szCs w:val="24"/>
                <w:lang w:val="pt-BR"/>
              </w:rPr>
            </w:pPr>
            <w:r w:rsidRPr="00ED1D4D">
              <w:rPr>
                <w:sz w:val="24"/>
                <w:szCs w:val="24"/>
                <w:lang w:val="pt-BR"/>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AF0AD9" w:rsidRPr="00ED1D4D" w:rsidRDefault="00AF0AD9" w:rsidP="00AF0AD9">
            <w:pPr>
              <w:pStyle w:val="TableParagraph"/>
              <w:spacing w:before="100"/>
              <w:ind w:right="110"/>
              <w:jc w:val="both"/>
              <w:rPr>
                <w:sz w:val="24"/>
                <w:szCs w:val="24"/>
                <w:lang w:val="pt-BR"/>
              </w:rPr>
            </w:pPr>
          </w:p>
        </w:tc>
        <w:tc>
          <w:tcPr>
            <w:tcW w:w="1984" w:type="dxa"/>
            <w:tcBorders>
              <w:top w:val="single" w:sz="4" w:space="0" w:color="000009"/>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976"/>
        </w:trPr>
        <w:tc>
          <w:tcPr>
            <w:tcW w:w="7656" w:type="dxa"/>
            <w:tcBorders>
              <w:left w:val="single" w:sz="8" w:space="0" w:color="000000"/>
              <w:right w:val="single" w:sz="8" w:space="0" w:color="000000"/>
            </w:tcBorders>
          </w:tcPr>
          <w:p w:rsidR="00AF0AD9" w:rsidRDefault="00AF0AD9" w:rsidP="00AF0AD9">
            <w:pPr>
              <w:pStyle w:val="TableParagraph"/>
              <w:spacing w:before="100"/>
              <w:ind w:right="110"/>
              <w:jc w:val="both"/>
              <w:rPr>
                <w:sz w:val="24"/>
                <w:szCs w:val="24"/>
                <w:lang w:val="pt-BR"/>
              </w:rPr>
            </w:pPr>
            <w:r w:rsidRPr="00ED1D4D">
              <w:rPr>
                <w:sz w:val="24"/>
                <w:szCs w:val="24"/>
                <w:lang w:val="pt-BR"/>
              </w:rPr>
              <w:t>7.03 – Elaboração de planos diretores, estudos de viabilidade, estudos organizacionais e outros, relacionados com obras e serviços de engenharia; elaboração de anteprojetos, projetos básicos e projetos executivos para trabalhos de engenharia.</w:t>
            </w:r>
          </w:p>
          <w:p w:rsidR="00AF0AD9" w:rsidRPr="00ED1D4D" w:rsidRDefault="00AF0AD9" w:rsidP="00AF0AD9">
            <w:pPr>
              <w:pStyle w:val="TableParagraph"/>
              <w:spacing w:before="100"/>
              <w:ind w:right="11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7.04 – Demolição.</w:t>
            </w: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0"/>
              <w:ind w:right="236"/>
              <w:jc w:val="both"/>
              <w:rPr>
                <w:sz w:val="24"/>
                <w:szCs w:val="24"/>
                <w:lang w:val="pt-BR"/>
              </w:rPr>
            </w:pPr>
            <w:r w:rsidRPr="00ED1D4D">
              <w:rPr>
                <w:sz w:val="24"/>
                <w:szCs w:val="24"/>
                <w:lang w:val="pt-BR"/>
              </w:rPr>
              <w:t>7.05 – Reparação, conservação e reforma de edifícios, estradas, pontes, portos e congêneres (exceto o fornecimento de mercadorias produzidas pelo prestador dos serviços, fora do local da prestação dos serviços, que fica sujeito ao ICMS).</w:t>
            </w:r>
          </w:p>
          <w:p w:rsidR="00AF0AD9" w:rsidRPr="00ED1D4D" w:rsidRDefault="00AF0AD9" w:rsidP="00AF0AD9">
            <w:pPr>
              <w:pStyle w:val="TableParagraph"/>
              <w:spacing w:before="100"/>
              <w:ind w:right="236"/>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0"/>
              <w:ind w:right="428"/>
              <w:jc w:val="both"/>
              <w:rPr>
                <w:sz w:val="24"/>
                <w:szCs w:val="24"/>
                <w:lang w:val="pt-BR"/>
              </w:rPr>
            </w:pPr>
            <w:r w:rsidRPr="00ED1D4D">
              <w:rPr>
                <w:sz w:val="24"/>
                <w:szCs w:val="24"/>
                <w:lang w:val="pt-BR"/>
              </w:rPr>
              <w:t>7.06 – Colocação e instalação de tapetes, carpetes, assoalhos, cortinas, revestimentos de parede, vidros, divisórias, placas de gesso e congêneres, com material fornecido pelo tomador do serviço.</w:t>
            </w:r>
          </w:p>
          <w:p w:rsidR="00AF0AD9" w:rsidRPr="00ED1D4D" w:rsidRDefault="00AF0AD9" w:rsidP="00AF0AD9">
            <w:pPr>
              <w:pStyle w:val="TableParagraph"/>
              <w:spacing w:before="100"/>
              <w:ind w:right="428"/>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7.07 – Recuperação, raspagem, polimento e lustração de pisos e congêneres.</w:t>
            </w: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rPr>
            </w:pPr>
            <w:r w:rsidRPr="00ED1D4D">
              <w:rPr>
                <w:sz w:val="24"/>
                <w:szCs w:val="24"/>
              </w:rPr>
              <w:t>7.08 – Calafetação.</w:t>
            </w:r>
          </w:p>
        </w:tc>
        <w:tc>
          <w:tcPr>
            <w:tcW w:w="1984" w:type="dxa"/>
            <w:tcBorders>
              <w:left w:val="single" w:sz="8" w:space="0" w:color="000000"/>
              <w:right w:val="single" w:sz="8" w:space="0" w:color="000000"/>
            </w:tcBorders>
          </w:tcPr>
          <w:p w:rsidR="00AF0AD9" w:rsidRPr="004D0A82" w:rsidRDefault="004D0A82" w:rsidP="00AF0AD9">
            <w:pPr>
              <w:pStyle w:val="TableParagraph"/>
              <w:spacing w:before="103"/>
              <w:jc w:val="center"/>
              <w:rPr>
                <w:b/>
                <w:sz w:val="24"/>
                <w:szCs w:val="24"/>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7.09 – Varrição, coleta, remoção, incineração, tratamento, reciclagem, separação e destinação final de lixo, rejeitos e outros resíduos quaisquer.</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lastRenderedPageBreak/>
              <w:t>2</w:t>
            </w:r>
            <w:r w:rsidR="00AF0AD9" w:rsidRPr="004D0A82">
              <w:rPr>
                <w:b/>
                <w:sz w:val="24"/>
                <w:szCs w:val="24"/>
              </w:rPr>
              <w:t>%</w:t>
            </w:r>
          </w:p>
        </w:tc>
      </w:tr>
      <w:tr w:rsidR="00AF0AD9" w:rsidRPr="00ED1D4D" w:rsidTr="004D0A82">
        <w:trPr>
          <w:gridAfter w:val="1"/>
          <w:wAfter w:w="445" w:type="dxa"/>
          <w:trHeight w:val="589"/>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jc w:val="both"/>
              <w:rPr>
                <w:sz w:val="24"/>
                <w:szCs w:val="24"/>
                <w:lang w:val="pt-BR"/>
              </w:rPr>
            </w:pPr>
            <w:r w:rsidRPr="00ED1D4D">
              <w:rPr>
                <w:sz w:val="24"/>
                <w:szCs w:val="24"/>
                <w:lang w:val="pt-BR"/>
              </w:rPr>
              <w:t>7.10 – Limpeza, manutenção e conservação de vias e logradouros públicos, imóveis, chaminés, piscinas, parques, jardins e congêneres.</w:t>
            </w:r>
          </w:p>
          <w:p w:rsidR="00AF0AD9" w:rsidRPr="00ED1D4D" w:rsidRDefault="00AF0AD9" w:rsidP="00AF0AD9">
            <w:pPr>
              <w:pStyle w:val="TableParagraph"/>
              <w:spacing w:before="104" w:line="237" w:lineRule="auto"/>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3"/>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7.11 – Decoração e jardinagem, inclusive corte e poda de árvores.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ind w:right="589"/>
              <w:jc w:val="both"/>
              <w:rPr>
                <w:sz w:val="24"/>
                <w:szCs w:val="24"/>
                <w:lang w:val="pt-BR"/>
              </w:rPr>
            </w:pPr>
            <w:r w:rsidRPr="00ED1D4D">
              <w:rPr>
                <w:sz w:val="24"/>
                <w:szCs w:val="24"/>
                <w:lang w:val="pt-BR"/>
              </w:rPr>
              <w:t>7.12 – Controle e tratamento de efluentes de qualquer natureza e de agentes físicos, químicos e biológicos.</w:t>
            </w:r>
          </w:p>
          <w:p w:rsidR="00AF0AD9" w:rsidRPr="00ED1D4D" w:rsidRDefault="00AF0AD9" w:rsidP="00AF0AD9">
            <w:pPr>
              <w:pStyle w:val="TableParagraph"/>
              <w:spacing w:before="102" w:line="237" w:lineRule="auto"/>
              <w:ind w:right="589"/>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7.13 – Dedetização, desinfecção, desinsetização, imunização, higienização, desratização, pulverização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7.14 – (VETADO)</w:t>
            </w:r>
          </w:p>
        </w:tc>
        <w:tc>
          <w:tcPr>
            <w:tcW w:w="1984" w:type="dxa"/>
            <w:tcBorders>
              <w:left w:val="single" w:sz="8" w:space="0" w:color="000000"/>
              <w:right w:val="single" w:sz="8" w:space="0" w:color="000000"/>
            </w:tcBorders>
          </w:tcPr>
          <w:p w:rsidR="00AF0AD9" w:rsidRPr="004D0A82" w:rsidRDefault="00AF0AD9" w:rsidP="00AF0AD9">
            <w:pPr>
              <w:pStyle w:val="TableParagraph"/>
              <w:jc w:val="center"/>
              <w:rPr>
                <w:sz w:val="24"/>
                <w:szCs w:val="24"/>
              </w:rPr>
            </w:pPr>
          </w:p>
        </w:tc>
      </w:tr>
      <w:tr w:rsidR="00AF0AD9" w:rsidRPr="00ED1D4D" w:rsidTr="004D0A82">
        <w:trPr>
          <w:gridAfter w:val="1"/>
          <w:wAfter w:w="445" w:type="dxa"/>
          <w:trHeight w:val="477"/>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7.15 – (VETADO)</w:t>
            </w:r>
          </w:p>
        </w:tc>
        <w:tc>
          <w:tcPr>
            <w:tcW w:w="1984" w:type="dxa"/>
            <w:tcBorders>
              <w:left w:val="single" w:sz="8" w:space="0" w:color="000000"/>
              <w:right w:val="single" w:sz="8" w:space="0" w:color="000000"/>
            </w:tcBorders>
          </w:tcPr>
          <w:p w:rsidR="00AF0AD9" w:rsidRPr="004D0A82" w:rsidRDefault="00AF0AD9" w:rsidP="00AF0AD9">
            <w:pPr>
              <w:pStyle w:val="TableParagraph"/>
              <w:jc w:val="center"/>
              <w:rPr>
                <w:sz w:val="24"/>
                <w:szCs w:val="24"/>
              </w:rPr>
            </w:pPr>
          </w:p>
        </w:tc>
      </w:tr>
      <w:tr w:rsidR="00AF0AD9" w:rsidRPr="00ED1D4D" w:rsidTr="004D0A82">
        <w:trPr>
          <w:gridAfter w:val="1"/>
          <w:wAfter w:w="445" w:type="dxa"/>
          <w:trHeight w:val="1173"/>
        </w:trPr>
        <w:tc>
          <w:tcPr>
            <w:tcW w:w="7656" w:type="dxa"/>
            <w:tcBorders>
              <w:left w:val="single" w:sz="8" w:space="0" w:color="000000"/>
              <w:right w:val="single" w:sz="8" w:space="0" w:color="000000"/>
            </w:tcBorders>
          </w:tcPr>
          <w:p w:rsidR="00AF0AD9" w:rsidRDefault="00AF0AD9" w:rsidP="00AF0AD9">
            <w:pPr>
              <w:pStyle w:val="TableParagraph"/>
              <w:spacing w:before="100"/>
              <w:ind w:right="110"/>
              <w:jc w:val="both"/>
              <w:rPr>
                <w:sz w:val="24"/>
                <w:szCs w:val="24"/>
                <w:lang w:val="pt-BR"/>
              </w:rPr>
            </w:pPr>
            <w:r w:rsidRPr="00ED1D4D">
              <w:rPr>
                <w:sz w:val="24"/>
                <w:szCs w:val="24"/>
                <w:lang w:val="pt-BR"/>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p w:rsidR="00AF0AD9" w:rsidRPr="00ED1D4D" w:rsidRDefault="00AF0AD9" w:rsidP="00AF0AD9">
            <w:pPr>
              <w:pStyle w:val="TableParagraph"/>
              <w:spacing w:before="100"/>
              <w:ind w:right="110"/>
              <w:jc w:val="both"/>
              <w:rPr>
                <w:sz w:val="24"/>
                <w:szCs w:val="24"/>
                <w:lang w:val="pt-BR"/>
              </w:rPr>
            </w:pPr>
            <w:r w:rsidRPr="00ED1D4D">
              <w:rPr>
                <w:sz w:val="24"/>
                <w:szCs w:val="24"/>
                <w:lang w:val="pt-BR"/>
              </w:rPr>
              <w:t xml:space="preserve"> </w:t>
            </w: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7.17 – Escoramento, contenção de encostas e serviços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199"/>
              <w:jc w:val="both"/>
              <w:rPr>
                <w:sz w:val="24"/>
                <w:szCs w:val="24"/>
                <w:lang w:val="pt-BR"/>
              </w:rPr>
            </w:pPr>
            <w:r w:rsidRPr="00ED1D4D">
              <w:rPr>
                <w:sz w:val="24"/>
                <w:szCs w:val="24"/>
                <w:lang w:val="pt-BR"/>
              </w:rPr>
              <w:t>7.18 – Limpeza e dragagem de rios, portos, canais, baías, lagos, lagoas, represas, açudes e congêneres.</w:t>
            </w:r>
          </w:p>
          <w:p w:rsidR="00AF0AD9" w:rsidRPr="00ED1D4D" w:rsidRDefault="00AF0AD9" w:rsidP="00AF0AD9">
            <w:pPr>
              <w:pStyle w:val="TableParagraph"/>
              <w:spacing w:before="100"/>
              <w:ind w:right="199"/>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7.19 – Acompanhamento e fiscalização da execução de obras de engenharia, arquitetura e urbanismo.</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1"/>
              <w:ind w:right="487"/>
              <w:jc w:val="both"/>
              <w:rPr>
                <w:sz w:val="24"/>
                <w:szCs w:val="24"/>
                <w:lang w:val="pt-BR"/>
              </w:rPr>
            </w:pPr>
            <w:r w:rsidRPr="00ED1D4D">
              <w:rPr>
                <w:sz w:val="24"/>
                <w:szCs w:val="24"/>
                <w:lang w:val="pt-BR"/>
              </w:rPr>
              <w:t>7.20 – Aerofotogrametria (inclusive interpretação), cartografia, mapeamento, levantamentos topográficos, batimétricos, geográficos, geodésicos, geológicos, geofísicos e congêneres.</w:t>
            </w:r>
          </w:p>
          <w:p w:rsidR="00AF0AD9" w:rsidRPr="00ED1D4D" w:rsidRDefault="00AF0AD9" w:rsidP="00AF0AD9">
            <w:pPr>
              <w:pStyle w:val="TableParagraph"/>
              <w:spacing w:before="101"/>
              <w:ind w:right="487"/>
              <w:jc w:val="both"/>
              <w:rPr>
                <w:sz w:val="24"/>
                <w:szCs w:val="24"/>
                <w:lang w:val="pt-BR"/>
              </w:rPr>
            </w:pPr>
          </w:p>
        </w:tc>
        <w:tc>
          <w:tcPr>
            <w:tcW w:w="1984" w:type="dxa"/>
            <w:tcBorders>
              <w:left w:val="single" w:sz="8" w:space="0" w:color="000000"/>
              <w:right w:val="single" w:sz="8" w:space="0" w:color="000000"/>
            </w:tcBorders>
          </w:tcPr>
          <w:p w:rsidR="00AF0AD9" w:rsidRPr="004D0A82" w:rsidRDefault="00AF0AD9" w:rsidP="00AF0AD9">
            <w:pPr>
              <w:pStyle w:val="TableParagraph"/>
              <w:spacing w:before="101"/>
              <w:jc w:val="center"/>
              <w:rPr>
                <w:b/>
                <w:sz w:val="24"/>
                <w:szCs w:val="24"/>
                <w:lang w:val="pt-BR"/>
              </w:rPr>
            </w:pPr>
            <w:r w:rsidRPr="004D0A82">
              <w:rPr>
                <w:b/>
                <w:sz w:val="24"/>
                <w:szCs w:val="24"/>
              </w:rPr>
              <w:t>2%</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7.21 – Pesquisa, perfuração, cimentação, mergulho, perfilagem, concretação, testemunhagem, pescaria, estimulação e outros serviços relacionados com a exploração e explotação de petróleo, gás natural e de outros recursos minerais.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4D0A82" w:rsidRDefault="004D0A82" w:rsidP="00AF0AD9">
            <w:pPr>
              <w:pStyle w:val="TableParagraph"/>
              <w:spacing w:before="100"/>
              <w:jc w:val="center"/>
              <w:rPr>
                <w:b/>
                <w:sz w:val="24"/>
                <w:szCs w:val="24"/>
                <w:lang w:val="pt-BR"/>
              </w:rPr>
            </w:pPr>
            <w:r w:rsidRPr="004D0A82">
              <w:rPr>
                <w:b/>
                <w:sz w:val="24"/>
                <w:szCs w:val="24"/>
              </w:rPr>
              <w:t>2</w:t>
            </w:r>
            <w:r w:rsidR="00AF0AD9" w:rsidRPr="004D0A82">
              <w:rPr>
                <w:b/>
                <w:sz w:val="24"/>
                <w:szCs w:val="24"/>
              </w:rPr>
              <w:t>%</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3"/>
              <w:jc w:val="both"/>
              <w:rPr>
                <w:sz w:val="24"/>
                <w:szCs w:val="24"/>
                <w:lang w:val="pt-BR"/>
              </w:rPr>
            </w:pPr>
            <w:r w:rsidRPr="00ED1D4D">
              <w:rPr>
                <w:sz w:val="24"/>
                <w:szCs w:val="24"/>
                <w:lang w:val="pt-BR"/>
              </w:rPr>
              <w:t>7.22 – Nucleação e bombardeamento de nuvens e congêneres.</w:t>
            </w:r>
          </w:p>
          <w:p w:rsidR="00AF0AD9" w:rsidRPr="00ED1D4D" w:rsidRDefault="00AF0AD9" w:rsidP="00AF0AD9">
            <w:pPr>
              <w:pStyle w:val="TableParagraph"/>
              <w:spacing w:before="103"/>
              <w:jc w:val="both"/>
              <w:rPr>
                <w:sz w:val="24"/>
                <w:szCs w:val="24"/>
                <w:lang w:val="pt-BR"/>
              </w:rPr>
            </w:pPr>
          </w:p>
        </w:tc>
        <w:tc>
          <w:tcPr>
            <w:tcW w:w="1984" w:type="dxa"/>
            <w:tcBorders>
              <w:left w:val="single" w:sz="8" w:space="0" w:color="000000"/>
              <w:right w:val="single" w:sz="8" w:space="0" w:color="000000"/>
            </w:tcBorders>
          </w:tcPr>
          <w:p w:rsidR="00AF0AD9" w:rsidRPr="00ED1D4D" w:rsidRDefault="004D0A82" w:rsidP="00AF0AD9">
            <w:pPr>
              <w:pStyle w:val="TableParagraph"/>
              <w:spacing w:before="103"/>
              <w:jc w:val="center"/>
              <w:rPr>
                <w:b/>
                <w:sz w:val="24"/>
                <w:szCs w:val="24"/>
                <w:lang w:val="pt-BR"/>
              </w:rPr>
            </w:pPr>
            <w:r w:rsidRPr="004D0A82">
              <w:rPr>
                <w:b/>
                <w:sz w:val="24"/>
                <w:szCs w:val="24"/>
              </w:rPr>
              <w:lastRenderedPageBreak/>
              <w:t>2</w:t>
            </w:r>
            <w:r w:rsidR="00AF0AD9" w:rsidRPr="004D0A82">
              <w:rPr>
                <w:b/>
                <w:sz w:val="24"/>
                <w:szCs w:val="24"/>
              </w:rPr>
              <w:t>%</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shd w:val="clear" w:color="auto" w:fill="D9D9D9"/>
          </w:tcPr>
          <w:p w:rsidR="00AF0AD9" w:rsidRDefault="00AF0AD9" w:rsidP="00AF0AD9">
            <w:pPr>
              <w:pStyle w:val="TableParagraph"/>
              <w:spacing w:before="100"/>
              <w:jc w:val="both"/>
              <w:rPr>
                <w:sz w:val="24"/>
                <w:szCs w:val="24"/>
                <w:lang w:val="pt-BR"/>
              </w:rPr>
            </w:pPr>
            <w:r w:rsidRPr="00ED1D4D">
              <w:rPr>
                <w:sz w:val="24"/>
                <w:szCs w:val="24"/>
                <w:lang w:val="pt-BR"/>
              </w:rPr>
              <w:t>8 – Serviços de educação, ensino, orientação pedagógica e educacional, instrução, treinamento e avaliação pessoal de qualquer grau ou natureza.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8.01 – Ensino regular pré-escolar, fundamental, médio e superior.</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E525B2" w:rsidP="00AF0AD9">
            <w:pPr>
              <w:pStyle w:val="TableParagraph"/>
              <w:spacing w:before="100"/>
              <w:jc w:val="center"/>
              <w:rPr>
                <w:b/>
                <w:sz w:val="24"/>
                <w:szCs w:val="24"/>
                <w:lang w:val="pt-BR"/>
              </w:rPr>
            </w:pPr>
            <w:r>
              <w:rPr>
                <w:sz w:val="24"/>
                <w:szCs w:val="24"/>
                <w:lang w:val="pt-BR"/>
              </w:rPr>
              <w:t>2</w:t>
            </w:r>
            <w:r w:rsidR="00AF0AD9" w:rsidRPr="00ED1D4D">
              <w:rPr>
                <w:sz w:val="24"/>
                <w:szCs w:val="24"/>
                <w:lang w:val="pt-BR"/>
              </w:rPr>
              <w:t>%</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8.02 – Instrução, treinamento, orientação pedagógica e educacional, avaliação de conhecimentos de qualquer natureza.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E525B2" w:rsidP="00AF0AD9">
            <w:pPr>
              <w:pStyle w:val="TableParagraph"/>
              <w:spacing w:before="100"/>
              <w:jc w:val="center"/>
              <w:rPr>
                <w:b/>
                <w:sz w:val="24"/>
                <w:szCs w:val="24"/>
                <w:lang w:val="pt-BR"/>
              </w:rPr>
            </w:pPr>
            <w:r>
              <w:rPr>
                <w:sz w:val="24"/>
                <w:szCs w:val="24"/>
                <w:lang w:val="pt-BR"/>
              </w:rPr>
              <w:t>2</w:t>
            </w:r>
            <w:r w:rsidR="00AF0AD9" w:rsidRPr="00ED1D4D">
              <w:rPr>
                <w:sz w:val="24"/>
                <w:szCs w:val="24"/>
                <w:lang w:val="pt-BR"/>
              </w:rPr>
              <w:t>%</w:t>
            </w:r>
          </w:p>
        </w:tc>
      </w:tr>
      <w:tr w:rsidR="00AF0AD9" w:rsidRPr="00ED1D4D" w:rsidTr="004D0A82">
        <w:trPr>
          <w:gridAfter w:val="1"/>
          <w:wAfter w:w="445" w:type="dxa"/>
          <w:trHeight w:val="475"/>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1"/>
              <w:jc w:val="both"/>
              <w:rPr>
                <w:sz w:val="24"/>
                <w:szCs w:val="24"/>
                <w:lang w:val="pt-BR"/>
              </w:rPr>
            </w:pPr>
            <w:r w:rsidRPr="00ED1D4D">
              <w:rPr>
                <w:sz w:val="24"/>
                <w:szCs w:val="24"/>
                <w:lang w:val="pt-BR"/>
              </w:rPr>
              <w:t>9 – Serviços relativos a hospedagem, turismo, viagens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117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9.01 – Hospedagem de qualquer natureza em hotéis, apart-</w:t>
            </w:r>
          </w:p>
          <w:p w:rsidR="00AF0AD9" w:rsidRDefault="00AF0AD9" w:rsidP="00AF0AD9">
            <w:pPr>
              <w:pStyle w:val="TableParagraph"/>
              <w:ind w:right="120"/>
              <w:jc w:val="both"/>
              <w:rPr>
                <w:sz w:val="24"/>
                <w:szCs w:val="24"/>
                <w:lang w:val="pt-BR"/>
              </w:rPr>
            </w:pPr>
            <w:r w:rsidRPr="00ED1D4D">
              <w:rPr>
                <w:sz w:val="24"/>
                <w:szCs w:val="24"/>
                <w:lang w:val="pt-BR"/>
              </w:rPr>
              <w: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w:t>
            </w:r>
          </w:p>
          <w:p w:rsidR="00AF0AD9" w:rsidRPr="00ED1D4D" w:rsidRDefault="00AF0AD9" w:rsidP="00AF0AD9">
            <w:pPr>
              <w:pStyle w:val="TableParagraph"/>
              <w:ind w:right="12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bottom w:val="single" w:sz="4" w:space="0" w:color="000009"/>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9.02 – Agenciamento, organização, promoção, intermediação e execução de programas de turismo, passeios, viagens, excursões, hospedagens e congêneres</w:t>
            </w:r>
            <w:r>
              <w:rPr>
                <w:sz w:val="24"/>
                <w:szCs w:val="24"/>
                <w:lang w:val="pt-BR"/>
              </w:rPr>
              <w:t>.</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bottom w:val="single" w:sz="4" w:space="0" w:color="000009"/>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top w:val="single" w:sz="4" w:space="0" w:color="000009"/>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9.03 – Guias de turismo.</w:t>
            </w:r>
          </w:p>
        </w:tc>
        <w:tc>
          <w:tcPr>
            <w:tcW w:w="1984" w:type="dxa"/>
            <w:tcBorders>
              <w:top w:val="single" w:sz="4" w:space="0" w:color="000009"/>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10 – Serviços de intermediação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10.01 – Agenciamento, corretagem ou intermediação de câmbio, de seguros, de cartões de crédito, de planos de saúde e de planos de previdência privada.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jc w:val="both"/>
              <w:rPr>
                <w:sz w:val="24"/>
                <w:szCs w:val="24"/>
                <w:lang w:val="pt-BR"/>
              </w:rPr>
            </w:pPr>
            <w:r w:rsidRPr="00ED1D4D">
              <w:rPr>
                <w:sz w:val="24"/>
                <w:szCs w:val="24"/>
                <w:lang w:val="pt-BR"/>
              </w:rPr>
              <w:t>10.02 – Agenciamento, corretagem ou intermediação de títulos em geral, valores mobiliários e contratos quaisquer.</w:t>
            </w:r>
          </w:p>
          <w:p w:rsidR="00AF0AD9" w:rsidRPr="00ED1D4D" w:rsidRDefault="00AF0AD9" w:rsidP="00AF0AD9">
            <w:pPr>
              <w:pStyle w:val="TableParagraph"/>
              <w:spacing w:before="102" w:line="237" w:lineRule="auto"/>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135"/>
              <w:jc w:val="both"/>
              <w:rPr>
                <w:sz w:val="24"/>
                <w:szCs w:val="24"/>
                <w:lang w:val="pt-BR"/>
              </w:rPr>
            </w:pPr>
            <w:r w:rsidRPr="00ED1D4D">
              <w:rPr>
                <w:sz w:val="24"/>
                <w:szCs w:val="24"/>
                <w:lang w:val="pt-BR"/>
              </w:rPr>
              <w:t>10.03 – Agenciamento, corretagem ou intermediação de direitos de propriedade industrial, artística ou literária.</w:t>
            </w:r>
          </w:p>
          <w:p w:rsidR="00AF0AD9" w:rsidRPr="00ED1D4D" w:rsidRDefault="00AF0AD9" w:rsidP="00AF0AD9">
            <w:pPr>
              <w:pStyle w:val="TableParagraph"/>
              <w:spacing w:before="100"/>
              <w:ind w:right="382"/>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jc w:val="both"/>
              <w:rPr>
                <w:sz w:val="24"/>
                <w:szCs w:val="24"/>
                <w:lang w:val="pt-BR"/>
              </w:rPr>
            </w:pPr>
            <w:r w:rsidRPr="00ED1D4D">
              <w:rPr>
                <w:sz w:val="24"/>
                <w:szCs w:val="24"/>
                <w:lang w:val="pt-BR"/>
              </w:rPr>
              <w:t>10.04 – Agenciamento, corretagem ou intermediação de contratos de arrendamento mercantil (leasing), de franquia (franchising) e de faturização (factoring).</w:t>
            </w:r>
          </w:p>
          <w:p w:rsidR="00AF0AD9" w:rsidRPr="00ED1D4D" w:rsidRDefault="00AF0AD9" w:rsidP="00AF0AD9">
            <w:pPr>
              <w:pStyle w:val="TableParagraph"/>
              <w:spacing w:before="102" w:line="237" w:lineRule="auto"/>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66"/>
        </w:trPr>
        <w:tc>
          <w:tcPr>
            <w:tcW w:w="7656" w:type="dxa"/>
            <w:tcBorders>
              <w:left w:val="single" w:sz="8" w:space="0" w:color="000000"/>
              <w:right w:val="single" w:sz="8" w:space="0" w:color="000000"/>
            </w:tcBorders>
          </w:tcPr>
          <w:p w:rsidR="00AF0AD9" w:rsidRPr="00ED1D4D" w:rsidRDefault="00AF0AD9" w:rsidP="00AF0AD9">
            <w:pPr>
              <w:pStyle w:val="TableParagraph"/>
              <w:spacing w:before="101"/>
              <w:ind w:right="120"/>
              <w:jc w:val="both"/>
              <w:rPr>
                <w:sz w:val="24"/>
                <w:szCs w:val="24"/>
                <w:lang w:val="pt-BR"/>
              </w:rPr>
            </w:pPr>
            <w:r w:rsidRPr="00ED1D4D">
              <w:rPr>
                <w:sz w:val="24"/>
                <w:szCs w:val="24"/>
                <w:lang w:val="pt-BR"/>
              </w:rPr>
              <w:t xml:space="preserve">10.05 – Agenciamento, corretagem ou intermediação de bens móveis ou imóveis, não abrangidos em outros itens ou subitens, inclusive aqueles realizados no âmbito de Bolsas de Mercadorias e Futuros, por quaisquer </w:t>
            </w:r>
            <w:r w:rsidRPr="00ED1D4D">
              <w:rPr>
                <w:sz w:val="24"/>
                <w:szCs w:val="24"/>
                <w:lang w:val="pt-BR"/>
              </w:rPr>
              <w:lastRenderedPageBreak/>
              <w:t>meios.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lang w:val="pt-BR"/>
              </w:rPr>
            </w:pPr>
            <w:r w:rsidRPr="00ED1D4D">
              <w:rPr>
                <w:sz w:val="24"/>
                <w:szCs w:val="24"/>
                <w:lang w:val="pt-BR"/>
              </w:rPr>
              <w:lastRenderedPageBreak/>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10.06 – Agenciamento marítimo.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10.07 – Agenciamento de notícias.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271"/>
              <w:jc w:val="both"/>
              <w:rPr>
                <w:sz w:val="24"/>
                <w:szCs w:val="24"/>
                <w:lang w:val="pt-BR"/>
              </w:rPr>
            </w:pPr>
            <w:r w:rsidRPr="00ED1D4D">
              <w:rPr>
                <w:sz w:val="24"/>
                <w:szCs w:val="24"/>
                <w:lang w:val="pt-BR"/>
              </w:rPr>
              <w:t>10.08 – Agenciamento de publicidade e propaganda, inclusive o agenciamento de veiculação por quaisquer meios.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10.09 – Representação de qualquer natureza, inclusive comercial.</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10.10 – Distribuição de bens de terceiros.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3"/>
              <w:jc w:val="both"/>
              <w:rPr>
                <w:sz w:val="24"/>
                <w:szCs w:val="24"/>
                <w:lang w:val="pt-BR"/>
              </w:rPr>
            </w:pPr>
            <w:r w:rsidRPr="00ED1D4D">
              <w:rPr>
                <w:sz w:val="24"/>
                <w:szCs w:val="24"/>
                <w:lang w:val="pt-BR"/>
              </w:rPr>
              <w:t>11 – Serviços de guarda, estacionamento, armazenamento, vigilância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1"/>
              <w:ind w:right="60"/>
              <w:jc w:val="both"/>
              <w:rPr>
                <w:sz w:val="24"/>
                <w:szCs w:val="24"/>
                <w:lang w:val="pt-BR"/>
              </w:rPr>
            </w:pPr>
            <w:r w:rsidRPr="00ED1D4D">
              <w:rPr>
                <w:sz w:val="24"/>
                <w:szCs w:val="24"/>
                <w:lang w:val="pt-BR"/>
              </w:rPr>
              <w:t>11.01 – Guarda e estacionamento de veículos terrestres automotores, de aeronaves e de embarcações.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1217"/>
              <w:jc w:val="both"/>
              <w:rPr>
                <w:sz w:val="24"/>
                <w:szCs w:val="24"/>
                <w:lang w:val="pt-BR"/>
              </w:rPr>
            </w:pPr>
            <w:r w:rsidRPr="00ED1D4D">
              <w:rPr>
                <w:sz w:val="24"/>
                <w:szCs w:val="24"/>
                <w:lang w:val="pt-BR"/>
              </w:rPr>
              <w:t>11.02 - Vigilância, segurança ou monitoramento de bens, pessoas e semoventes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lang w:val="pt-BR"/>
              </w:rPr>
            </w:pPr>
            <w:r w:rsidRPr="00ED1D4D">
              <w:rPr>
                <w:sz w:val="24"/>
                <w:szCs w:val="24"/>
                <w:lang w:val="pt-BR"/>
              </w:rPr>
              <w:t>11.03 – Escolta, inclusive de veículos e cargas.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92"/>
              <w:jc w:val="both"/>
              <w:rPr>
                <w:sz w:val="24"/>
                <w:szCs w:val="24"/>
                <w:lang w:val="pt-BR"/>
              </w:rPr>
            </w:pPr>
            <w:r w:rsidRPr="00ED1D4D">
              <w:rPr>
                <w:sz w:val="24"/>
                <w:szCs w:val="24"/>
                <w:lang w:val="pt-BR"/>
              </w:rPr>
              <w:t>11.04 – Armazenamento, depósito, carga, descarga, arrumação e guarda de bens de qualquer espécie.</w:t>
            </w:r>
          </w:p>
          <w:p w:rsidR="00AF0AD9" w:rsidRPr="00ED1D4D" w:rsidRDefault="00AF0AD9" w:rsidP="00AF0AD9">
            <w:pPr>
              <w:pStyle w:val="TableParagraph"/>
              <w:spacing w:before="100"/>
              <w:ind w:right="92"/>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12 – Serviços de diversões, lazer, entretenimento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12.01 – Espetáculos teatrais.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1"/>
              <w:jc w:val="both"/>
              <w:rPr>
                <w:sz w:val="24"/>
                <w:szCs w:val="24"/>
              </w:rPr>
            </w:pPr>
            <w:r w:rsidRPr="00ED1D4D">
              <w:rPr>
                <w:sz w:val="24"/>
                <w:szCs w:val="24"/>
              </w:rPr>
              <w:t>12.02 – Exibições cinematográficas.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12.03 – Espetáculos circenses.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12.04 – Programas de auditório.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12.05 – Parques de diversões, centros de lazer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12.06 – Boates, taxi-dancing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589"/>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92"/>
              <w:jc w:val="both"/>
              <w:rPr>
                <w:sz w:val="24"/>
                <w:szCs w:val="24"/>
                <w:lang w:val="pt-BR"/>
              </w:rPr>
            </w:pPr>
            <w:r w:rsidRPr="00ED1D4D">
              <w:rPr>
                <w:sz w:val="24"/>
                <w:szCs w:val="24"/>
                <w:lang w:val="pt-BR"/>
              </w:rPr>
              <w:t>12.07 – Shows</w:t>
            </w:r>
            <w:r w:rsidRPr="00ED1D4D">
              <w:rPr>
                <w:i/>
                <w:sz w:val="24"/>
                <w:szCs w:val="24"/>
                <w:lang w:val="pt-BR"/>
              </w:rPr>
              <w:t xml:space="preserve">, </w:t>
            </w:r>
            <w:r w:rsidRPr="00ED1D4D">
              <w:rPr>
                <w:sz w:val="24"/>
                <w:szCs w:val="24"/>
                <w:lang w:val="pt-BR"/>
              </w:rPr>
              <w:t>ballet, danças, desfiles, bailes, óperas, concertos, recitais, festivais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12.08 – Feiras, exposições, congressos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12.09 – Bilhares, boliches e diversões eletrônicas ou não.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12.10 – Corridas e competições de animais.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12.11 – Competições esportivas ou de destreza física ou intelectual, com ou sem a participação do espectador.</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12.12 – Execução de música.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78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lastRenderedPageBreak/>
              <w:t>12.13 – Produção, mediante ou sem encomenda prévia, de eventos, espetáculos, entrevistas, shows</w:t>
            </w:r>
            <w:r w:rsidRPr="00ED1D4D">
              <w:rPr>
                <w:i/>
                <w:sz w:val="24"/>
                <w:szCs w:val="24"/>
                <w:lang w:val="pt-BR"/>
              </w:rPr>
              <w:t xml:space="preserve">, </w:t>
            </w:r>
            <w:r w:rsidRPr="00ED1D4D">
              <w:rPr>
                <w:sz w:val="24"/>
                <w:szCs w:val="24"/>
                <w:lang w:val="pt-BR"/>
              </w:rPr>
              <w:t>ballet, danças, desfiles, bailes, teatros, óperas, concertos, recitais, festivais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12.14 – Fornecimento de música para ambientes fechados ou não, mediante transmissão por qualquer processo.</w:t>
            </w:r>
          </w:p>
          <w:p w:rsidR="00AF0AD9" w:rsidRDefault="00AF0AD9" w:rsidP="00AF0AD9">
            <w:pPr>
              <w:pStyle w:val="TableParagraph"/>
              <w:spacing w:before="100"/>
              <w:jc w:val="both"/>
              <w:rPr>
                <w:sz w:val="24"/>
                <w:szCs w:val="24"/>
                <w:lang w:val="pt-BR"/>
              </w:rPr>
            </w:pP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12.15 – Desfiles de blocos carnavalescos ou folclóricos, trios elétricos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ind w:right="317"/>
              <w:jc w:val="both"/>
              <w:rPr>
                <w:sz w:val="24"/>
                <w:szCs w:val="24"/>
                <w:lang w:val="pt-BR"/>
              </w:rPr>
            </w:pPr>
            <w:r w:rsidRPr="00ED1D4D">
              <w:rPr>
                <w:sz w:val="24"/>
                <w:szCs w:val="24"/>
                <w:lang w:val="pt-BR"/>
              </w:rPr>
              <w:t>12.16 – Exibição de filmes, entrevistas, musicais, espetáculos, shows, concertos, desfiles, óperas, competições esportivas, de destreza intelectual ou congêneres.</w:t>
            </w:r>
          </w:p>
          <w:p w:rsidR="00AF0AD9" w:rsidRPr="00ED1D4D" w:rsidRDefault="00AF0AD9" w:rsidP="00AF0AD9">
            <w:pPr>
              <w:pStyle w:val="TableParagraph"/>
              <w:spacing w:before="100"/>
              <w:ind w:right="317"/>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12.17 – Recreação e animação, inclusive em festas e eventos de qualquer natureza.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13 – Serviços relativos a fonografia, fotografia, cinematografia e reprografia.</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477"/>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13.01 –</w:t>
            </w:r>
            <w:r w:rsidRPr="00ED1D4D">
              <w:rPr>
                <w:spacing w:val="55"/>
                <w:sz w:val="24"/>
                <w:szCs w:val="24"/>
              </w:rPr>
              <w:t xml:space="preserve"> </w:t>
            </w:r>
            <w:r w:rsidRPr="00ED1D4D">
              <w:rPr>
                <w:sz w:val="24"/>
                <w:szCs w:val="24"/>
              </w:rPr>
              <w:t>(VETADO)</w:t>
            </w:r>
          </w:p>
        </w:tc>
        <w:tc>
          <w:tcPr>
            <w:tcW w:w="1984" w:type="dxa"/>
            <w:tcBorders>
              <w:left w:val="single" w:sz="8" w:space="0" w:color="000000"/>
              <w:right w:val="single" w:sz="8" w:space="0" w:color="000000"/>
            </w:tcBorders>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588"/>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13.02 – Fonografia ou gravação de sons, inclusive trucagem, dublagem, mixagem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4" w:line="237" w:lineRule="auto"/>
              <w:jc w:val="both"/>
              <w:rPr>
                <w:sz w:val="24"/>
                <w:szCs w:val="24"/>
                <w:lang w:val="pt-BR"/>
              </w:rPr>
            </w:pPr>
            <w:r w:rsidRPr="00ED1D4D">
              <w:rPr>
                <w:sz w:val="24"/>
                <w:szCs w:val="24"/>
                <w:lang w:val="pt-BR"/>
              </w:rPr>
              <w:t>13.03 – Fotografia e cinematografia, inclusive revelação, ampliação, cópia, reprodução, trucagem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13.04 – Reprografia, microfilmagem e digitalização.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1562"/>
        </w:trPr>
        <w:tc>
          <w:tcPr>
            <w:tcW w:w="7656" w:type="dxa"/>
            <w:tcBorders>
              <w:left w:val="single" w:sz="8" w:space="0" w:color="000000"/>
              <w:right w:val="single" w:sz="8" w:space="0" w:color="000000"/>
            </w:tcBorders>
          </w:tcPr>
          <w:p w:rsidR="00AF0AD9" w:rsidRDefault="00AF0AD9" w:rsidP="00AF0AD9">
            <w:pPr>
              <w:pStyle w:val="TableParagraph"/>
              <w:spacing w:before="100"/>
              <w:ind w:right="110"/>
              <w:jc w:val="both"/>
              <w:rPr>
                <w:sz w:val="24"/>
                <w:szCs w:val="24"/>
                <w:lang w:val="pt-BR"/>
              </w:rPr>
            </w:pPr>
            <w:r w:rsidRPr="00ED1D4D">
              <w:rPr>
                <w:sz w:val="24"/>
                <w:szCs w:val="24"/>
                <w:lang w:val="pt-BR"/>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rsidR="00AF0AD9" w:rsidRPr="00ED1D4D" w:rsidRDefault="00AF0AD9" w:rsidP="00AF0AD9">
            <w:pPr>
              <w:pStyle w:val="TableParagraph"/>
              <w:spacing w:before="100"/>
              <w:ind w:right="11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475"/>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14 – Serviços relativos a bens de terceiros.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978"/>
        </w:trPr>
        <w:tc>
          <w:tcPr>
            <w:tcW w:w="7656" w:type="dxa"/>
            <w:tcBorders>
              <w:left w:val="single" w:sz="8" w:space="0" w:color="000000"/>
              <w:right w:val="single" w:sz="8" w:space="0" w:color="000000"/>
            </w:tcBorders>
          </w:tcPr>
          <w:p w:rsidR="00AF0AD9" w:rsidRDefault="00AF0AD9" w:rsidP="00AF0AD9">
            <w:pPr>
              <w:pStyle w:val="TableParagraph"/>
              <w:spacing w:before="100"/>
              <w:ind w:right="74"/>
              <w:jc w:val="both"/>
              <w:rPr>
                <w:sz w:val="24"/>
                <w:szCs w:val="24"/>
                <w:lang w:val="pt-BR"/>
              </w:rPr>
            </w:pPr>
            <w:r w:rsidRPr="00ED1D4D">
              <w:rPr>
                <w:sz w:val="24"/>
                <w:szCs w:val="24"/>
                <w:lang w:val="pt-BR"/>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AF0AD9" w:rsidRPr="00ED1D4D" w:rsidRDefault="00AF0AD9" w:rsidP="00AF0AD9">
            <w:pPr>
              <w:pStyle w:val="TableParagraph"/>
              <w:spacing w:before="100"/>
              <w:ind w:right="74"/>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lastRenderedPageBreak/>
              <w:t>14.02 – Assistência técnica.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14.03 – Recondicionamento de motores (exceto peças e partes empregadas, que ficam sujeitas ao ICMS).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14.04 – Recauchutagem ou regeneração de pneus.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489"/>
        </w:trPr>
        <w:tc>
          <w:tcPr>
            <w:tcW w:w="7656" w:type="dxa"/>
            <w:tcBorders>
              <w:left w:val="single" w:sz="8" w:space="0" w:color="000000"/>
              <w:right w:val="single" w:sz="8" w:space="0" w:color="000000"/>
            </w:tcBorders>
          </w:tcPr>
          <w:p w:rsidR="00AF0AD9" w:rsidRDefault="00AF0AD9" w:rsidP="00AF0AD9">
            <w:pPr>
              <w:pStyle w:val="TableParagraph"/>
              <w:spacing w:before="100" w:line="190" w:lineRule="atLeast"/>
              <w:ind w:right="92"/>
              <w:jc w:val="both"/>
              <w:rPr>
                <w:sz w:val="24"/>
                <w:szCs w:val="24"/>
                <w:lang w:val="pt-BR"/>
              </w:rPr>
            </w:pPr>
            <w:r w:rsidRPr="00ED1D4D">
              <w:rPr>
                <w:sz w:val="24"/>
                <w:szCs w:val="24"/>
                <w:lang w:val="pt-BR"/>
              </w:rPr>
              <w:t>14.05 - Restauração, recondicionamento, acondicionamento, pintura, beneficiamento, lavagem, secagem, tingimento, galvanoplastia, anodização, corte, recorte, plastificação, costura, acabamento, polimento e congêneres de objetos quaisquer.</w:t>
            </w:r>
          </w:p>
          <w:p w:rsidR="00AF0AD9" w:rsidRPr="00ED1D4D" w:rsidRDefault="00AF0AD9" w:rsidP="00AF0AD9">
            <w:pPr>
              <w:pStyle w:val="TableParagraph"/>
              <w:spacing w:before="100" w:line="190" w:lineRule="atLeast"/>
              <w:ind w:right="92"/>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0"/>
              <w:ind w:right="158"/>
              <w:jc w:val="both"/>
              <w:rPr>
                <w:sz w:val="24"/>
                <w:szCs w:val="24"/>
                <w:lang w:val="pt-BR"/>
              </w:rPr>
            </w:pPr>
            <w:r w:rsidRPr="00ED1D4D">
              <w:rPr>
                <w:sz w:val="24"/>
                <w:szCs w:val="24"/>
                <w:lang w:val="pt-BR"/>
              </w:rPr>
              <w:t>14.06 – Instalação e montagem de aparelhos, máquinas e equipamentos, inclusive montagem industrial, prestados ao usuário final, exclusivamente com material por ele fornecido.</w:t>
            </w:r>
          </w:p>
          <w:p w:rsidR="00AF0AD9" w:rsidRPr="00ED1D4D" w:rsidRDefault="00AF0AD9" w:rsidP="00AF0AD9">
            <w:pPr>
              <w:pStyle w:val="TableParagraph"/>
              <w:spacing w:before="100"/>
              <w:ind w:right="158"/>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lang w:val="pt-BR"/>
              </w:rPr>
            </w:pPr>
            <w:r w:rsidRPr="00ED1D4D">
              <w:rPr>
                <w:sz w:val="24"/>
                <w:szCs w:val="24"/>
                <w:lang w:val="pt-BR"/>
              </w:rPr>
              <w:t>14.07 – Colocação de molduras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14.08 – Encadernação, gravação e douração de livros, revistas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lang w:val="pt-BR"/>
              </w:rPr>
            </w:pPr>
            <w:r w:rsidRPr="00ED1D4D">
              <w:rPr>
                <w:sz w:val="24"/>
                <w:szCs w:val="24"/>
                <w:lang w:val="pt-BR"/>
              </w:rPr>
              <w:t>14.09 – Alfaiataria e costura, quando o material for fornecido pelo usuário final, exceto aviamento.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14.10 – Tinturaria e lavanderia.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14.11 – Tapeçaria e reforma de estofamentos em geral.</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14.12 – Funilaria e lanternagem.</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14.13 – Carpintaria e serralheria.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14.14 - Guincho intramunicipal, guindaste e içamento.</w:t>
            </w:r>
            <w:r w:rsidRPr="00ED1D4D">
              <w:rPr>
                <w:color w:val="0000FF"/>
                <w:sz w:val="24"/>
                <w:szCs w:val="24"/>
                <w:lang w:val="pt-BR"/>
              </w:rPr>
              <w:t xml:space="preserve"> </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781"/>
        </w:trPr>
        <w:tc>
          <w:tcPr>
            <w:tcW w:w="7656" w:type="dxa"/>
            <w:tcBorders>
              <w:left w:val="single" w:sz="8" w:space="0" w:color="000000"/>
              <w:right w:val="single" w:sz="8" w:space="0" w:color="000000"/>
            </w:tcBorders>
            <w:shd w:val="clear" w:color="auto" w:fill="D9D9D9"/>
          </w:tcPr>
          <w:p w:rsidR="00AF0AD9" w:rsidRDefault="00AF0AD9" w:rsidP="00AF0AD9">
            <w:pPr>
              <w:pStyle w:val="TableParagraph"/>
              <w:spacing w:before="100"/>
              <w:ind w:right="135"/>
              <w:jc w:val="both"/>
              <w:rPr>
                <w:sz w:val="24"/>
                <w:szCs w:val="24"/>
                <w:lang w:val="pt-BR"/>
              </w:rPr>
            </w:pPr>
            <w:r w:rsidRPr="00ED1D4D">
              <w:rPr>
                <w:sz w:val="24"/>
                <w:szCs w:val="24"/>
                <w:lang w:val="pt-BR"/>
              </w:rPr>
              <w:t>15 – Serviços relacionados ao setor bancário ou financeiro, inclusive aqueles prestados por instituições financeiras autorizadas a funcionar pela União ou por quem de direito.</w:t>
            </w:r>
          </w:p>
          <w:p w:rsidR="00AF0AD9" w:rsidRPr="00ED1D4D" w:rsidRDefault="00AF0AD9" w:rsidP="00AF0AD9">
            <w:pPr>
              <w:pStyle w:val="TableParagraph"/>
              <w:spacing w:before="100"/>
              <w:ind w:right="335"/>
              <w:jc w:val="both"/>
              <w:rPr>
                <w:sz w:val="24"/>
                <w:szCs w:val="24"/>
                <w:lang w:val="pt-BR"/>
              </w:rPr>
            </w:pP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99"/>
              <w:jc w:val="both"/>
              <w:rPr>
                <w:sz w:val="24"/>
                <w:szCs w:val="24"/>
                <w:lang w:val="pt-BR"/>
              </w:rPr>
            </w:pPr>
            <w:r w:rsidRPr="00ED1D4D">
              <w:rPr>
                <w:sz w:val="24"/>
                <w:szCs w:val="24"/>
                <w:lang w:val="pt-BR"/>
              </w:rPr>
              <w:t>15.01 – Administração de fundos quaisquer, de consórcio, de cartão de crédito ou débito e congêneres, de carteira de clientes, de cheques pré-datados e congêneres.</w:t>
            </w:r>
          </w:p>
          <w:p w:rsidR="00AF0AD9" w:rsidRPr="00ED1D4D" w:rsidRDefault="00AF0AD9" w:rsidP="00AF0AD9">
            <w:pPr>
              <w:pStyle w:val="TableParagraph"/>
              <w:spacing w:before="100"/>
              <w:ind w:right="99"/>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0"/>
              <w:ind w:right="335"/>
              <w:jc w:val="both"/>
              <w:rPr>
                <w:sz w:val="24"/>
                <w:szCs w:val="24"/>
                <w:lang w:val="pt-BR"/>
              </w:rPr>
            </w:pPr>
            <w:r w:rsidRPr="00ED1D4D">
              <w:rPr>
                <w:sz w:val="24"/>
                <w:szCs w:val="24"/>
                <w:lang w:val="pt-BR"/>
              </w:rPr>
              <w:t>15.02 – Abertura de contas em geral, inclusive conta corrente, conta de investimentos e aplicação e caderneta de poupança, no País e no exterior, bem como a manutenção das referidas contas ativas e inativas.</w:t>
            </w:r>
          </w:p>
          <w:p w:rsidR="00AF0AD9" w:rsidRPr="00ED1D4D" w:rsidRDefault="00AF0AD9" w:rsidP="00AF0AD9">
            <w:pPr>
              <w:pStyle w:val="TableParagraph"/>
              <w:spacing w:before="100"/>
              <w:ind w:right="33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ind w:right="198"/>
              <w:jc w:val="both"/>
              <w:rPr>
                <w:sz w:val="24"/>
                <w:szCs w:val="24"/>
                <w:lang w:val="pt-BR"/>
              </w:rPr>
            </w:pPr>
            <w:r w:rsidRPr="00ED1D4D">
              <w:rPr>
                <w:sz w:val="24"/>
                <w:szCs w:val="24"/>
                <w:lang w:val="pt-BR"/>
              </w:rPr>
              <w:t>15.03 – Locação e manutenção de cofres particulares, de terminais eletrônicos, de terminais de atendimento e de bens e equipamentos em geral.</w:t>
            </w:r>
          </w:p>
          <w:p w:rsidR="00AF0AD9" w:rsidRPr="00ED1D4D" w:rsidRDefault="00AF0AD9" w:rsidP="00AF0AD9">
            <w:pPr>
              <w:pStyle w:val="TableParagraph"/>
              <w:spacing w:before="104" w:line="237" w:lineRule="auto"/>
              <w:ind w:right="198"/>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lastRenderedPageBreak/>
              <w:t>5%</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15.04 – Fornecimento ou emissão de atestados em geral, inclusive atestado de idoneidade, atestado de capacidade financeira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ind w:right="60"/>
              <w:jc w:val="both"/>
              <w:rPr>
                <w:sz w:val="24"/>
                <w:szCs w:val="24"/>
                <w:lang w:val="pt-BR"/>
              </w:rPr>
            </w:pPr>
            <w:r w:rsidRPr="00ED1D4D">
              <w:rPr>
                <w:sz w:val="24"/>
                <w:szCs w:val="24"/>
                <w:lang w:val="pt-BR"/>
              </w:rPr>
              <w:t>15.05 – Cadastro, elaboração de ficha cadastral, renovação cadastral e congêneres, inclusão ou exclusão no Cadastro de Emitentes de Cheques sem Fundos – CCF ou em quaisquer outros bancos cadastrais.</w:t>
            </w:r>
          </w:p>
          <w:p w:rsidR="00AF0AD9" w:rsidRPr="00ED1D4D" w:rsidRDefault="00AF0AD9" w:rsidP="00AF0AD9">
            <w:pPr>
              <w:pStyle w:val="TableParagraph"/>
              <w:spacing w:before="104" w:line="237" w:lineRule="auto"/>
              <w:ind w:right="6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5%</w:t>
            </w:r>
          </w:p>
        </w:tc>
      </w:tr>
      <w:tr w:rsidR="00AF0AD9" w:rsidRPr="00ED1D4D" w:rsidTr="004D0A82">
        <w:trPr>
          <w:gridAfter w:val="1"/>
          <w:wAfter w:w="445" w:type="dxa"/>
          <w:trHeight w:val="117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1170"/>
        </w:trPr>
        <w:tc>
          <w:tcPr>
            <w:tcW w:w="7656" w:type="dxa"/>
            <w:tcBorders>
              <w:left w:val="single" w:sz="8" w:space="0" w:color="000000"/>
              <w:right w:val="single" w:sz="8" w:space="0" w:color="000000"/>
            </w:tcBorders>
          </w:tcPr>
          <w:p w:rsidR="00AF0AD9" w:rsidRDefault="00AF0AD9" w:rsidP="00AF0AD9">
            <w:pPr>
              <w:pStyle w:val="TableParagraph"/>
              <w:spacing w:before="100"/>
              <w:ind w:right="47"/>
              <w:jc w:val="both"/>
              <w:rPr>
                <w:sz w:val="24"/>
                <w:szCs w:val="24"/>
                <w:lang w:val="pt-BR"/>
              </w:rPr>
            </w:pPr>
            <w:r w:rsidRPr="00ED1D4D">
              <w:rPr>
                <w:sz w:val="24"/>
                <w:szCs w:val="24"/>
                <w:lang w:val="pt-BR"/>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AF0AD9" w:rsidRPr="00ED1D4D" w:rsidRDefault="00AF0AD9" w:rsidP="00AF0AD9">
            <w:pPr>
              <w:pStyle w:val="TableParagraph"/>
              <w:spacing w:before="100"/>
              <w:ind w:right="47"/>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978"/>
        </w:trPr>
        <w:tc>
          <w:tcPr>
            <w:tcW w:w="7656" w:type="dxa"/>
            <w:tcBorders>
              <w:left w:val="single" w:sz="8" w:space="0" w:color="000000"/>
              <w:right w:val="single" w:sz="8" w:space="0" w:color="000000"/>
            </w:tcBorders>
          </w:tcPr>
          <w:p w:rsidR="00AF0AD9" w:rsidRDefault="00AF0AD9" w:rsidP="00AF0AD9">
            <w:pPr>
              <w:pStyle w:val="TableParagraph"/>
              <w:spacing w:before="100"/>
              <w:ind w:right="51"/>
              <w:jc w:val="both"/>
              <w:rPr>
                <w:sz w:val="24"/>
                <w:szCs w:val="24"/>
                <w:lang w:val="pt-BR"/>
              </w:rPr>
            </w:pPr>
            <w:r w:rsidRPr="00ED1D4D">
              <w:rPr>
                <w:sz w:val="24"/>
                <w:szCs w:val="24"/>
                <w:lang w:val="pt-BR"/>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AF0AD9" w:rsidRPr="00ED1D4D" w:rsidRDefault="00AF0AD9" w:rsidP="00AF0AD9">
            <w:pPr>
              <w:pStyle w:val="TableParagraph"/>
              <w:spacing w:before="100"/>
              <w:ind w:right="51"/>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0"/>
              <w:ind w:right="270"/>
              <w:jc w:val="both"/>
              <w:rPr>
                <w:sz w:val="24"/>
                <w:szCs w:val="24"/>
                <w:lang w:val="pt-BR"/>
              </w:rPr>
            </w:pPr>
            <w:r w:rsidRPr="00ED1D4D">
              <w:rPr>
                <w:sz w:val="24"/>
                <w:szCs w:val="24"/>
                <w:lang w:val="pt-BR"/>
              </w:rPr>
              <w:t>15.09 – Arrendamento mercantil (leasing) de quaisquer bens, inclusive cessão de direitos e obrigações, substituição de garantia, alteração, cancelamento e</w:t>
            </w:r>
            <w:r w:rsidRPr="00ED1D4D">
              <w:rPr>
                <w:spacing w:val="-32"/>
                <w:sz w:val="24"/>
                <w:szCs w:val="24"/>
                <w:lang w:val="pt-BR"/>
              </w:rPr>
              <w:t xml:space="preserve"> </w:t>
            </w:r>
            <w:r w:rsidRPr="00ED1D4D">
              <w:rPr>
                <w:sz w:val="24"/>
                <w:szCs w:val="24"/>
                <w:lang w:val="pt-BR"/>
              </w:rPr>
              <w:t>registro de contrato, e demais serviços relacionados ao arrendamento mercantil</w:t>
            </w:r>
            <w:r w:rsidRPr="00ED1D4D">
              <w:rPr>
                <w:spacing w:val="-26"/>
                <w:sz w:val="24"/>
                <w:szCs w:val="24"/>
                <w:lang w:val="pt-BR"/>
              </w:rPr>
              <w:t xml:space="preserve"> </w:t>
            </w:r>
            <w:r w:rsidRPr="00ED1D4D">
              <w:rPr>
                <w:sz w:val="24"/>
                <w:szCs w:val="24"/>
                <w:lang w:val="pt-BR"/>
              </w:rPr>
              <w:t>(leasing).</w:t>
            </w:r>
          </w:p>
          <w:p w:rsidR="00AF0AD9" w:rsidRPr="00ED1D4D" w:rsidRDefault="00AF0AD9" w:rsidP="00AF0AD9">
            <w:pPr>
              <w:pStyle w:val="TableParagraph"/>
              <w:spacing w:before="100"/>
              <w:ind w:right="27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1170"/>
        </w:trPr>
        <w:tc>
          <w:tcPr>
            <w:tcW w:w="7656" w:type="dxa"/>
            <w:tcBorders>
              <w:left w:val="single" w:sz="8" w:space="0" w:color="000000"/>
              <w:right w:val="single" w:sz="8" w:space="0" w:color="000000"/>
            </w:tcBorders>
          </w:tcPr>
          <w:p w:rsidR="00AF0AD9" w:rsidRDefault="00AF0AD9" w:rsidP="00AF0AD9">
            <w:pPr>
              <w:pStyle w:val="TableParagraph"/>
              <w:spacing w:before="100"/>
              <w:ind w:right="71"/>
              <w:jc w:val="both"/>
              <w:rPr>
                <w:sz w:val="24"/>
                <w:szCs w:val="24"/>
                <w:lang w:val="pt-BR"/>
              </w:rPr>
            </w:pPr>
            <w:r w:rsidRPr="00ED1D4D">
              <w:rPr>
                <w:sz w:val="24"/>
                <w:szCs w:val="24"/>
                <w:lang w:val="pt-BR"/>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AF0AD9" w:rsidRPr="00ED1D4D" w:rsidRDefault="00AF0AD9" w:rsidP="00AF0AD9">
            <w:pPr>
              <w:pStyle w:val="TableParagraph"/>
              <w:spacing w:before="100"/>
              <w:ind w:right="71"/>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65"/>
              <w:jc w:val="both"/>
              <w:rPr>
                <w:sz w:val="24"/>
                <w:szCs w:val="24"/>
                <w:lang w:val="pt-BR"/>
              </w:rPr>
            </w:pPr>
            <w:r w:rsidRPr="00ED1D4D">
              <w:rPr>
                <w:sz w:val="24"/>
                <w:szCs w:val="24"/>
                <w:lang w:val="pt-BR"/>
              </w:rPr>
              <w:t>15.11 – Devolução de títulos, protesto de títulos, sustação de protesto, manutenção de títulos, reapresentação de títulos, e demais serviços a eles relacionados.</w:t>
            </w:r>
          </w:p>
          <w:p w:rsidR="00AF0AD9" w:rsidRPr="00ED1D4D" w:rsidRDefault="00AF0AD9" w:rsidP="00AF0AD9">
            <w:pPr>
              <w:pStyle w:val="TableParagraph"/>
              <w:spacing w:before="100"/>
              <w:ind w:right="6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lastRenderedPageBreak/>
              <w:t>5%</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15.12 – Custódia em geral, inclusive de títulos e valores mobiliários.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1562"/>
        </w:trPr>
        <w:tc>
          <w:tcPr>
            <w:tcW w:w="7656" w:type="dxa"/>
            <w:tcBorders>
              <w:left w:val="single" w:sz="8" w:space="0" w:color="000000"/>
              <w:right w:val="single" w:sz="8" w:space="0" w:color="000000"/>
            </w:tcBorders>
          </w:tcPr>
          <w:p w:rsidR="00AF0AD9" w:rsidRDefault="00AF0AD9" w:rsidP="00AF0AD9">
            <w:pPr>
              <w:pStyle w:val="TableParagraph"/>
              <w:spacing w:before="100"/>
              <w:ind w:right="71"/>
              <w:jc w:val="both"/>
              <w:rPr>
                <w:sz w:val="24"/>
                <w:szCs w:val="24"/>
                <w:lang w:val="pt-BR"/>
              </w:rPr>
            </w:pPr>
            <w:r w:rsidRPr="00ED1D4D">
              <w:rPr>
                <w:sz w:val="24"/>
                <w:szCs w:val="24"/>
                <w:lang w:val="pt-BR"/>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w:t>
            </w:r>
            <w:r w:rsidRPr="00ED1D4D">
              <w:rPr>
                <w:spacing w:val="-33"/>
                <w:sz w:val="24"/>
                <w:szCs w:val="24"/>
                <w:lang w:val="pt-BR"/>
              </w:rPr>
              <w:t xml:space="preserve"> </w:t>
            </w:r>
            <w:r w:rsidRPr="00ED1D4D">
              <w:rPr>
                <w:sz w:val="24"/>
                <w:szCs w:val="24"/>
                <w:lang w:val="pt-BR"/>
              </w:rPr>
              <w:t>garantias recebidas; envio e recebimento de mensagens em geral relacionadas a operações de</w:t>
            </w:r>
            <w:r w:rsidRPr="00ED1D4D">
              <w:rPr>
                <w:spacing w:val="-1"/>
                <w:sz w:val="24"/>
                <w:szCs w:val="24"/>
                <w:lang w:val="pt-BR"/>
              </w:rPr>
              <w:t xml:space="preserve"> </w:t>
            </w:r>
            <w:r w:rsidRPr="00ED1D4D">
              <w:rPr>
                <w:sz w:val="24"/>
                <w:szCs w:val="24"/>
                <w:lang w:val="pt-BR"/>
              </w:rPr>
              <w:t>câmbio.</w:t>
            </w:r>
          </w:p>
          <w:p w:rsidR="00AF0AD9" w:rsidRPr="00ED1D4D" w:rsidRDefault="00AF0AD9" w:rsidP="00AF0AD9">
            <w:pPr>
              <w:pStyle w:val="TableParagraph"/>
              <w:spacing w:before="100"/>
              <w:ind w:right="71"/>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15.14 – Fornecimento, emissão, reemissão, renovação e manutenção de cartão magnético, cartão de crédito, cartão de débito, cartão salário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jc w:val="both"/>
              <w:rPr>
                <w:sz w:val="24"/>
                <w:szCs w:val="24"/>
                <w:lang w:val="pt-BR"/>
              </w:rPr>
            </w:pPr>
            <w:r w:rsidRPr="00ED1D4D">
              <w:rPr>
                <w:sz w:val="24"/>
                <w:szCs w:val="24"/>
                <w:lang w:val="pt-BR"/>
              </w:rPr>
              <w:t>15.15 – Compensação de cheques e títulos quaisquer; serviços relacionados a depósito, inclusive depósito identificado, a saque de contas quaisquer, por qualquer meio ou processo, inclusive em terminais eletrônicos e de atendimento</w:t>
            </w:r>
          </w:p>
          <w:p w:rsidR="00AF0AD9" w:rsidRPr="00ED1D4D" w:rsidRDefault="00AF0AD9" w:rsidP="00AF0AD9">
            <w:pPr>
              <w:pStyle w:val="TableParagraph"/>
              <w:spacing w:before="104" w:line="237" w:lineRule="auto"/>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5%</w:t>
            </w:r>
          </w:p>
        </w:tc>
      </w:tr>
      <w:tr w:rsidR="00AF0AD9" w:rsidRPr="00ED1D4D" w:rsidTr="004D0A82">
        <w:trPr>
          <w:gridAfter w:val="1"/>
          <w:wAfter w:w="445" w:type="dxa"/>
          <w:trHeight w:val="979"/>
        </w:trPr>
        <w:tc>
          <w:tcPr>
            <w:tcW w:w="7656" w:type="dxa"/>
            <w:tcBorders>
              <w:left w:val="single" w:sz="8" w:space="0" w:color="000000"/>
              <w:right w:val="single" w:sz="8" w:space="0" w:color="000000"/>
            </w:tcBorders>
          </w:tcPr>
          <w:p w:rsidR="00AF0AD9" w:rsidRDefault="00AF0AD9" w:rsidP="00AF0AD9">
            <w:pPr>
              <w:pStyle w:val="TableParagraph"/>
              <w:spacing w:before="101"/>
              <w:jc w:val="both"/>
              <w:rPr>
                <w:sz w:val="24"/>
                <w:szCs w:val="24"/>
                <w:lang w:val="pt-BR"/>
              </w:rPr>
            </w:pPr>
            <w:r w:rsidRPr="00ED1D4D">
              <w:rPr>
                <w:sz w:val="24"/>
                <w:szCs w:val="24"/>
                <w:lang w:val="pt-BR"/>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AF0AD9" w:rsidRPr="00ED1D4D" w:rsidRDefault="00AF0AD9" w:rsidP="00AF0AD9">
            <w:pPr>
              <w:pStyle w:val="TableParagraph"/>
              <w:spacing w:before="101"/>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b/>
                <w:sz w:val="24"/>
                <w:szCs w:val="24"/>
                <w:lang w:val="pt-BR"/>
              </w:rPr>
            </w:pPr>
            <w:r w:rsidRPr="00ED1D4D">
              <w:rPr>
                <w:sz w:val="24"/>
                <w:szCs w:val="24"/>
                <w:lang w:val="pt-BR"/>
              </w:rPr>
              <w:t>5%</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jc w:val="both"/>
              <w:rPr>
                <w:sz w:val="24"/>
                <w:szCs w:val="24"/>
                <w:lang w:val="pt-BR"/>
              </w:rPr>
            </w:pPr>
            <w:r w:rsidRPr="00ED1D4D">
              <w:rPr>
                <w:sz w:val="24"/>
                <w:szCs w:val="24"/>
                <w:lang w:val="pt-BR"/>
              </w:rPr>
              <w:t>15.17 – Emissão, fornecimento, devolução, sustação, cancelamento e oposição de cheques quaisquer, avulso ou por talão.</w:t>
            </w:r>
          </w:p>
          <w:p w:rsidR="00AF0AD9" w:rsidRPr="00ED1D4D" w:rsidRDefault="00AF0AD9" w:rsidP="00AF0AD9">
            <w:pPr>
              <w:pStyle w:val="TableParagraph"/>
              <w:spacing w:before="102" w:line="237" w:lineRule="auto"/>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978"/>
        </w:trPr>
        <w:tc>
          <w:tcPr>
            <w:tcW w:w="7656" w:type="dxa"/>
            <w:tcBorders>
              <w:left w:val="single" w:sz="8" w:space="0" w:color="000000"/>
              <w:right w:val="single" w:sz="8" w:space="0" w:color="000000"/>
            </w:tcBorders>
          </w:tcPr>
          <w:p w:rsidR="00AF0AD9" w:rsidRDefault="00AF0AD9" w:rsidP="00AF0AD9">
            <w:pPr>
              <w:pStyle w:val="TableParagraph"/>
              <w:spacing w:before="100"/>
              <w:ind w:right="43"/>
              <w:jc w:val="both"/>
              <w:rPr>
                <w:sz w:val="24"/>
                <w:szCs w:val="24"/>
                <w:lang w:val="pt-BR"/>
              </w:rPr>
            </w:pPr>
            <w:r w:rsidRPr="00ED1D4D">
              <w:rPr>
                <w:sz w:val="24"/>
                <w:szCs w:val="24"/>
                <w:lang w:val="pt-BR"/>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AF0AD9" w:rsidRPr="00ED1D4D" w:rsidRDefault="00AF0AD9" w:rsidP="00AF0AD9">
            <w:pPr>
              <w:pStyle w:val="TableParagraph"/>
              <w:spacing w:before="100"/>
              <w:ind w:right="43"/>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16 – Serviços de transporte de natureza municipal.</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1142"/>
        </w:trPr>
        <w:tc>
          <w:tcPr>
            <w:tcW w:w="7656" w:type="dxa"/>
            <w:tcBorders>
              <w:left w:val="single" w:sz="8" w:space="0" w:color="000000"/>
              <w:right w:val="single" w:sz="8" w:space="0" w:color="000000"/>
            </w:tcBorders>
          </w:tcPr>
          <w:p w:rsidR="00AF0AD9" w:rsidRPr="00ED1D4D" w:rsidRDefault="00AF0AD9" w:rsidP="00AF0AD9">
            <w:pPr>
              <w:pStyle w:val="TableParagraph"/>
              <w:spacing w:before="5"/>
              <w:jc w:val="both"/>
              <w:rPr>
                <w:sz w:val="24"/>
                <w:szCs w:val="24"/>
                <w:lang w:val="pt-BR"/>
              </w:rPr>
            </w:pPr>
          </w:p>
          <w:p w:rsidR="00AF0AD9" w:rsidRPr="00ED1D4D" w:rsidRDefault="00AF0AD9" w:rsidP="00AF0AD9">
            <w:pPr>
              <w:pStyle w:val="TableParagraph"/>
              <w:ind w:right="49"/>
              <w:jc w:val="both"/>
              <w:rPr>
                <w:sz w:val="24"/>
                <w:szCs w:val="24"/>
                <w:lang w:val="pt-BR"/>
              </w:rPr>
            </w:pPr>
            <w:r w:rsidRPr="00ED1D4D">
              <w:rPr>
                <w:sz w:val="24"/>
                <w:szCs w:val="24"/>
                <w:lang w:val="pt-BR"/>
              </w:rPr>
              <w:t>16.01 - Serviços de transporte coletivo municipal rodoviário, metroviário, ferroviário e aquaviário de passageiros.</w:t>
            </w:r>
            <w:r w:rsidRPr="00ED1D4D">
              <w:rPr>
                <w:color w:val="0000FF"/>
                <w:sz w:val="24"/>
                <w:szCs w:val="24"/>
                <w:lang w:val="pt-BR"/>
              </w:rPr>
              <w:t xml:space="preserve"> </w:t>
            </w:r>
          </w:p>
        </w:tc>
        <w:tc>
          <w:tcPr>
            <w:tcW w:w="1984" w:type="dxa"/>
            <w:tcBorders>
              <w:left w:val="single" w:sz="8" w:space="0" w:color="000000"/>
              <w:right w:val="single" w:sz="8" w:space="0" w:color="000000"/>
            </w:tcBorders>
          </w:tcPr>
          <w:p w:rsidR="00AF0AD9" w:rsidRDefault="00AF0AD9" w:rsidP="00AF0AD9">
            <w:pPr>
              <w:pStyle w:val="TableParagraph"/>
              <w:jc w:val="center"/>
              <w:rPr>
                <w:sz w:val="24"/>
                <w:szCs w:val="24"/>
                <w:lang w:val="pt-BR"/>
              </w:rPr>
            </w:pPr>
          </w:p>
          <w:p w:rsidR="00AF0AD9" w:rsidRPr="00ED1D4D" w:rsidRDefault="00AF0AD9" w:rsidP="00AF0AD9">
            <w:pPr>
              <w:pStyle w:val="TableParagraph"/>
              <w:jc w:val="center"/>
              <w:rPr>
                <w:b/>
                <w:sz w:val="24"/>
                <w:szCs w:val="24"/>
              </w:rPr>
            </w:pPr>
            <w:r w:rsidRPr="00ED1D4D">
              <w:rPr>
                <w:sz w:val="24"/>
                <w:szCs w:val="24"/>
                <w:lang w:val="pt-BR"/>
              </w:rPr>
              <w:t>3%</w:t>
            </w:r>
          </w:p>
        </w:tc>
      </w:tr>
      <w:tr w:rsidR="00AF0AD9" w:rsidRPr="00ED1D4D" w:rsidTr="004D0A82">
        <w:trPr>
          <w:gridAfter w:val="1"/>
          <w:wAfter w:w="445" w:type="dxa"/>
          <w:trHeight w:val="950"/>
        </w:trPr>
        <w:tc>
          <w:tcPr>
            <w:tcW w:w="7656" w:type="dxa"/>
            <w:tcBorders>
              <w:left w:val="single" w:sz="8" w:space="0" w:color="000000"/>
              <w:right w:val="single" w:sz="8" w:space="0" w:color="000000"/>
            </w:tcBorders>
          </w:tcPr>
          <w:p w:rsidR="00AF0AD9" w:rsidRPr="00ED1D4D" w:rsidRDefault="00AF0AD9" w:rsidP="00AF0AD9">
            <w:pPr>
              <w:pStyle w:val="TableParagraph"/>
              <w:spacing w:before="4"/>
              <w:jc w:val="both"/>
              <w:rPr>
                <w:sz w:val="24"/>
                <w:szCs w:val="24"/>
                <w:lang w:val="pt-BR"/>
              </w:rPr>
            </w:pPr>
          </w:p>
          <w:p w:rsidR="00AF0AD9" w:rsidRPr="00ED1D4D" w:rsidRDefault="00AF0AD9" w:rsidP="00AF0AD9">
            <w:pPr>
              <w:pStyle w:val="TableParagraph"/>
              <w:jc w:val="both"/>
              <w:rPr>
                <w:sz w:val="24"/>
                <w:szCs w:val="24"/>
                <w:lang w:val="pt-BR"/>
              </w:rPr>
            </w:pPr>
            <w:r w:rsidRPr="00ED1D4D">
              <w:rPr>
                <w:sz w:val="24"/>
                <w:szCs w:val="24"/>
                <w:lang w:val="pt-BR"/>
              </w:rPr>
              <w:t>16.02 - Outros serviços de transporte de natureza municipal.</w:t>
            </w:r>
            <w:r w:rsidRPr="00ED1D4D">
              <w:rPr>
                <w:color w:val="0000FF"/>
                <w:sz w:val="24"/>
                <w:szCs w:val="24"/>
                <w:lang w:val="pt-BR"/>
              </w:rPr>
              <w:t xml:space="preserve"> </w:t>
            </w:r>
          </w:p>
        </w:tc>
        <w:tc>
          <w:tcPr>
            <w:tcW w:w="1984" w:type="dxa"/>
            <w:tcBorders>
              <w:left w:val="single" w:sz="8" w:space="0" w:color="000000"/>
              <w:right w:val="single" w:sz="8" w:space="0" w:color="000000"/>
            </w:tcBorders>
          </w:tcPr>
          <w:p w:rsidR="00AF0AD9" w:rsidRPr="00ED1D4D" w:rsidRDefault="00AF0AD9" w:rsidP="00AF0AD9">
            <w:pPr>
              <w:pStyle w:val="TableParagraph"/>
              <w:jc w:val="center"/>
              <w:rPr>
                <w:b/>
                <w:sz w:val="24"/>
                <w:szCs w:val="24"/>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shd w:val="clear" w:color="auto" w:fill="D9D9D9"/>
          </w:tcPr>
          <w:p w:rsidR="00AF0AD9" w:rsidRPr="00ED1D4D" w:rsidRDefault="00AF0AD9" w:rsidP="00AF0AD9">
            <w:pPr>
              <w:pStyle w:val="TableParagraph"/>
              <w:spacing w:before="100"/>
              <w:jc w:val="both"/>
              <w:rPr>
                <w:sz w:val="24"/>
                <w:szCs w:val="24"/>
                <w:lang w:val="pt-BR"/>
              </w:rPr>
            </w:pPr>
            <w:r w:rsidRPr="00ED1D4D">
              <w:rPr>
                <w:sz w:val="24"/>
                <w:szCs w:val="24"/>
                <w:lang w:val="pt-BR"/>
              </w:rPr>
              <w:t>17 – Serviços de apoio técnico, administrativo, jurídico, contábil, comercial e congêneres.</w:t>
            </w:r>
          </w:p>
        </w:tc>
        <w:tc>
          <w:tcPr>
            <w:tcW w:w="1984" w:type="dxa"/>
            <w:tcBorders>
              <w:left w:val="single" w:sz="8" w:space="0" w:color="000000"/>
              <w:right w:val="single" w:sz="8" w:space="0" w:color="000000"/>
            </w:tcBorders>
            <w:shd w:val="clear" w:color="auto" w:fill="D9D9D9"/>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489"/>
        </w:trPr>
        <w:tc>
          <w:tcPr>
            <w:tcW w:w="7656" w:type="dxa"/>
            <w:tcBorders>
              <w:left w:val="single" w:sz="8" w:space="0" w:color="000000"/>
              <w:right w:val="single" w:sz="8" w:space="0" w:color="000000"/>
            </w:tcBorders>
          </w:tcPr>
          <w:p w:rsidR="00AF0AD9" w:rsidRDefault="00AF0AD9" w:rsidP="00AF0AD9">
            <w:pPr>
              <w:pStyle w:val="TableParagraph"/>
              <w:spacing w:before="103" w:line="190" w:lineRule="atLeast"/>
              <w:jc w:val="both"/>
              <w:rPr>
                <w:sz w:val="24"/>
                <w:szCs w:val="24"/>
                <w:lang w:val="pt-BR"/>
              </w:rPr>
            </w:pPr>
            <w:r w:rsidRPr="00ED1D4D">
              <w:rPr>
                <w:sz w:val="24"/>
                <w:szCs w:val="24"/>
                <w:lang w:val="pt-BR"/>
              </w:rPr>
              <w:t>17.01 – Assessoria ou consultoria de qualquer natureza, não contida em outros itens desta lista; análise, exame, pesquisa, coleta, compilação e fornecimento de dados e informações de qualquer natureza, inclusive cadastro e similares.</w:t>
            </w:r>
          </w:p>
          <w:p w:rsidR="00AF0AD9" w:rsidRPr="00ED1D4D" w:rsidRDefault="00AF0AD9" w:rsidP="00AF0AD9">
            <w:pPr>
              <w:pStyle w:val="TableParagraph"/>
              <w:spacing w:before="103" w:line="190" w:lineRule="atLeast"/>
              <w:ind w:right="316"/>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17.02 – Datilografia, digitação, estenografia, expediente, secretaria em geral, resposta audível, redação, edição, interpretação, revisão, tradução, apoio e infra- estrutura administrativa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4" w:line="237" w:lineRule="auto"/>
              <w:ind w:right="335"/>
              <w:jc w:val="both"/>
              <w:rPr>
                <w:sz w:val="24"/>
                <w:szCs w:val="24"/>
                <w:lang w:val="pt-BR"/>
              </w:rPr>
            </w:pPr>
            <w:r w:rsidRPr="00ED1D4D">
              <w:rPr>
                <w:sz w:val="24"/>
                <w:szCs w:val="24"/>
                <w:lang w:val="pt-BR"/>
              </w:rPr>
              <w:t>17.03 – Planejamento, coordenação, programação ou organização técnica, financeira ou administrativa.</w:t>
            </w:r>
          </w:p>
          <w:p w:rsidR="00AF0AD9" w:rsidRPr="00ED1D4D" w:rsidRDefault="00AF0AD9" w:rsidP="00AF0AD9">
            <w:pPr>
              <w:pStyle w:val="TableParagraph"/>
              <w:spacing w:before="104" w:line="237" w:lineRule="auto"/>
              <w:ind w:right="33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17.04 – Recrutamento, agenciamento, seleção e colocação de mão-de-obra.</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785"/>
        </w:trPr>
        <w:tc>
          <w:tcPr>
            <w:tcW w:w="7656" w:type="dxa"/>
            <w:tcBorders>
              <w:left w:val="single" w:sz="8" w:space="0" w:color="000000"/>
              <w:right w:val="single" w:sz="8" w:space="0" w:color="000000"/>
            </w:tcBorders>
          </w:tcPr>
          <w:p w:rsidR="00AF0AD9" w:rsidRDefault="00AF0AD9" w:rsidP="00AF0AD9">
            <w:pPr>
              <w:pStyle w:val="TableParagraph"/>
              <w:spacing w:before="103"/>
              <w:ind w:right="60"/>
              <w:jc w:val="both"/>
              <w:rPr>
                <w:sz w:val="24"/>
                <w:szCs w:val="24"/>
                <w:lang w:val="pt-BR"/>
              </w:rPr>
            </w:pPr>
            <w:r w:rsidRPr="00ED1D4D">
              <w:rPr>
                <w:sz w:val="24"/>
                <w:szCs w:val="24"/>
                <w:lang w:val="pt-BR"/>
              </w:rPr>
              <w:t>17.05 – Fornecimento de mão-de-obra, mesmo em caráter temporário, inclusive de empregados ou trabalhadores, avulsos ou temporários, contratados pelo prestador de serviço.</w:t>
            </w:r>
          </w:p>
          <w:p w:rsidR="00AF0AD9" w:rsidRPr="00ED1D4D" w:rsidRDefault="00AF0AD9" w:rsidP="00AF0AD9">
            <w:pPr>
              <w:pStyle w:val="TableParagraph"/>
              <w:spacing w:before="103"/>
              <w:ind w:right="6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17.06 – Propaganda e publicidade, inclusive promoção de vendas, planejamento de campanhas ou sistemas de publicidade, elaboração de desenhos, textos e demais materiais publicitários.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17.07 –</w:t>
            </w:r>
            <w:r w:rsidRPr="00ED1D4D">
              <w:rPr>
                <w:spacing w:val="55"/>
                <w:sz w:val="24"/>
                <w:szCs w:val="24"/>
              </w:rPr>
              <w:t xml:space="preserve"> </w:t>
            </w:r>
            <w:r w:rsidRPr="00ED1D4D">
              <w:rPr>
                <w:sz w:val="24"/>
                <w:szCs w:val="24"/>
              </w:rPr>
              <w:t>(VETADO)</w:t>
            </w:r>
          </w:p>
        </w:tc>
        <w:tc>
          <w:tcPr>
            <w:tcW w:w="1984" w:type="dxa"/>
            <w:tcBorders>
              <w:left w:val="single" w:sz="8" w:space="0" w:color="000000"/>
              <w:right w:val="single" w:sz="8" w:space="0" w:color="000000"/>
            </w:tcBorders>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17.08 – Franquia (franchising).</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17.09 – Perícias, laudos, exames técnicos e análises técnicas.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335"/>
              <w:jc w:val="both"/>
              <w:rPr>
                <w:sz w:val="24"/>
                <w:szCs w:val="24"/>
                <w:lang w:val="pt-BR"/>
              </w:rPr>
            </w:pPr>
            <w:r w:rsidRPr="00ED1D4D">
              <w:rPr>
                <w:sz w:val="24"/>
                <w:szCs w:val="24"/>
                <w:lang w:val="pt-BR"/>
              </w:rPr>
              <w:t>17.10 – Planejamento, organização e administração de feiras, exposições, congressos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8"/>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17.11 – Organização de festas e recepções; bufê (exceto o fornecimento de alimentação e bebidas, que fica sujeito ao ICMS).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17.12 – Administração em geral, inclusive de bens e negócios de terceiros.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17.13 – Leilão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17.14 – Advocacia.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17.15 – Arbitragem de qualquer espécie, inclusive jurídica.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rPr>
            </w:pPr>
            <w:r w:rsidRPr="00ED1D4D">
              <w:rPr>
                <w:sz w:val="24"/>
                <w:szCs w:val="24"/>
              </w:rPr>
              <w:lastRenderedPageBreak/>
              <w:t>17.16 – Auditoria.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17.17 – Análise de Organização e Métodos.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lang w:val="pt-BR"/>
              </w:rPr>
            </w:pPr>
            <w:r w:rsidRPr="00ED1D4D">
              <w:rPr>
                <w:sz w:val="24"/>
                <w:szCs w:val="24"/>
                <w:lang w:val="pt-BR"/>
              </w:rPr>
              <w:t>17.18 – Atuária e cálculos técnicos de qualquer natureza.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17.19 – Contabilidade, inclusive serviços técnicos e auxiliares.</w:t>
            </w:r>
          </w:p>
        </w:tc>
        <w:tc>
          <w:tcPr>
            <w:tcW w:w="1984" w:type="dxa"/>
            <w:tcBorders>
              <w:left w:val="single" w:sz="8" w:space="0" w:color="000000"/>
              <w:bottom w:val="single" w:sz="4" w:space="0" w:color="auto"/>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trHeight w:val="396"/>
        </w:trPr>
        <w:tc>
          <w:tcPr>
            <w:tcW w:w="7656" w:type="dxa"/>
            <w:tcBorders>
              <w:left w:val="single" w:sz="8" w:space="0" w:color="000000"/>
              <w:right w:val="single" w:sz="4" w:space="0" w:color="auto"/>
            </w:tcBorders>
          </w:tcPr>
          <w:p w:rsidR="00AF0AD9" w:rsidRPr="00ED1D4D" w:rsidRDefault="00AF0AD9" w:rsidP="00AF0AD9">
            <w:pPr>
              <w:pStyle w:val="TableParagraph"/>
              <w:spacing w:before="103"/>
              <w:jc w:val="both"/>
              <w:rPr>
                <w:sz w:val="24"/>
                <w:szCs w:val="24"/>
                <w:lang w:val="pt-BR"/>
              </w:rPr>
            </w:pPr>
            <w:r w:rsidRPr="00ED1D4D">
              <w:rPr>
                <w:sz w:val="24"/>
                <w:szCs w:val="24"/>
                <w:lang w:val="pt-BR"/>
              </w:rPr>
              <w:t>17.20 – Consultoria e assessoria econômica ou financeira.</w:t>
            </w:r>
          </w:p>
        </w:tc>
        <w:tc>
          <w:tcPr>
            <w:tcW w:w="1984" w:type="dxa"/>
            <w:tcBorders>
              <w:top w:val="single" w:sz="4" w:space="0" w:color="auto"/>
              <w:left w:val="single" w:sz="4" w:space="0" w:color="auto"/>
              <w:bottom w:val="single" w:sz="4" w:space="0" w:color="auto"/>
              <w:right w:val="single" w:sz="4" w:space="0" w:color="auto"/>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c>
          <w:tcPr>
            <w:tcW w:w="445" w:type="dxa"/>
            <w:tcBorders>
              <w:top w:val="nil"/>
              <w:left w:val="single" w:sz="4" w:space="0" w:color="auto"/>
              <w:bottom w:val="nil"/>
              <w:right w:val="nil"/>
            </w:tcBorders>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17.21 – Estatística.</w:t>
            </w:r>
          </w:p>
        </w:tc>
        <w:tc>
          <w:tcPr>
            <w:tcW w:w="1984" w:type="dxa"/>
            <w:tcBorders>
              <w:top w:val="single" w:sz="4" w:space="0" w:color="auto"/>
              <w:left w:val="single" w:sz="8" w:space="0" w:color="000000"/>
              <w:right w:val="single" w:sz="8" w:space="0" w:color="000000"/>
            </w:tcBorders>
          </w:tcPr>
          <w:p w:rsidR="00AF0AD9" w:rsidRPr="00ED1D4D" w:rsidRDefault="00AF0AD9" w:rsidP="00AF0AD9">
            <w:pPr>
              <w:pStyle w:val="TableParagraph"/>
              <w:spacing w:before="100"/>
              <w:jc w:val="center"/>
              <w:rPr>
                <w:b/>
                <w:sz w:val="24"/>
                <w:szCs w:val="24"/>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3"/>
              <w:jc w:val="both"/>
              <w:rPr>
                <w:sz w:val="24"/>
                <w:szCs w:val="24"/>
              </w:rPr>
            </w:pPr>
            <w:r w:rsidRPr="00ED1D4D">
              <w:rPr>
                <w:sz w:val="24"/>
                <w:szCs w:val="24"/>
              </w:rPr>
              <w:t>17.22 – Cobrança em geral.</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rPr>
            </w:pPr>
            <w:r w:rsidRPr="00ED1D4D">
              <w:rPr>
                <w:sz w:val="24"/>
                <w:szCs w:val="24"/>
                <w:lang w:val="pt-BR"/>
              </w:rPr>
              <w:t>3%</w:t>
            </w: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Default="00AF0AD9" w:rsidP="00AF0AD9">
            <w:pPr>
              <w:pStyle w:val="TableParagraph"/>
              <w:spacing w:before="100"/>
              <w:ind w:right="111"/>
              <w:jc w:val="both"/>
              <w:rPr>
                <w:sz w:val="24"/>
                <w:szCs w:val="24"/>
                <w:lang w:val="pt-BR"/>
              </w:rPr>
            </w:pPr>
            <w:r w:rsidRPr="00ED1D4D">
              <w:rPr>
                <w:sz w:val="24"/>
                <w:szCs w:val="24"/>
                <w:lang w:val="pt-BR"/>
              </w:rPr>
              <w:t>17.23 – Assessoria, análise, avaliação, atendimento, consulta, cadastro, seleção, gerenciamento de informações, administração de contas a receber ou a pagar e em geral, relacionados a operações de faturização (factoring).</w:t>
            </w:r>
          </w:p>
          <w:p w:rsidR="00AF0AD9" w:rsidRPr="00ED1D4D" w:rsidRDefault="00AF0AD9" w:rsidP="00AF0AD9">
            <w:pPr>
              <w:pStyle w:val="TableParagraph"/>
              <w:spacing w:before="100"/>
              <w:ind w:right="111"/>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17.24 – Apresentação de palestras, conferências, seminários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68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17.25 - Inserção de textos, desenhos e outros materiais de propaganda e</w:t>
            </w:r>
          </w:p>
          <w:p w:rsidR="00AF0AD9" w:rsidRDefault="00AF0AD9" w:rsidP="00AF0AD9">
            <w:pPr>
              <w:pStyle w:val="TableParagraph"/>
              <w:spacing w:line="190" w:lineRule="atLeast"/>
              <w:jc w:val="both"/>
              <w:rPr>
                <w:sz w:val="24"/>
                <w:szCs w:val="24"/>
                <w:lang w:val="pt-BR"/>
              </w:rPr>
            </w:pPr>
            <w:r w:rsidRPr="00ED1D4D">
              <w:rPr>
                <w:sz w:val="24"/>
                <w:szCs w:val="24"/>
                <w:lang w:val="pt-BR"/>
              </w:rPr>
              <w:t>publicidade, em qualquer meio (exceto em livros, jornais, periódicos e nas modalidades de serviços de radiodifusão sonora e de sons e imagens de recepção livre e gratuita.</w:t>
            </w:r>
          </w:p>
          <w:p w:rsidR="00AF0AD9" w:rsidRPr="00ED1D4D" w:rsidRDefault="00AF0AD9" w:rsidP="00AF0AD9">
            <w:pPr>
              <w:pStyle w:val="TableParagraph"/>
              <w:spacing w:line="190" w:lineRule="atLeast"/>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782"/>
        </w:trPr>
        <w:tc>
          <w:tcPr>
            <w:tcW w:w="7656" w:type="dxa"/>
            <w:tcBorders>
              <w:left w:val="single" w:sz="8" w:space="0" w:color="000000"/>
              <w:right w:val="single" w:sz="8" w:space="0" w:color="000000"/>
            </w:tcBorders>
            <w:shd w:val="clear" w:color="auto" w:fill="BEBEBE"/>
          </w:tcPr>
          <w:p w:rsidR="00AF0AD9" w:rsidRDefault="00AF0AD9" w:rsidP="00AF0AD9">
            <w:pPr>
              <w:pStyle w:val="TableParagraph"/>
              <w:spacing w:before="100"/>
              <w:ind w:right="97"/>
              <w:jc w:val="both"/>
              <w:rPr>
                <w:sz w:val="24"/>
                <w:szCs w:val="24"/>
                <w:lang w:val="pt-BR"/>
              </w:rPr>
            </w:pPr>
            <w:r w:rsidRPr="00ED1D4D">
              <w:rPr>
                <w:sz w:val="24"/>
                <w:szCs w:val="24"/>
                <w:lang w:val="pt-BR"/>
              </w:rPr>
              <w:t>18 – Serviços de regulação de sinistros vinculados a contratos de seguros; inspeção e avaliação de riscos para cobertura de contratos de seguros; prevenção e gerência de riscos seguráveis e congêneres.</w:t>
            </w:r>
          </w:p>
          <w:p w:rsidR="00AF0AD9" w:rsidRPr="00ED1D4D" w:rsidRDefault="00AF0AD9" w:rsidP="00AF0AD9">
            <w:pPr>
              <w:pStyle w:val="TableParagraph"/>
              <w:spacing w:before="100"/>
              <w:ind w:right="97"/>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784"/>
        </w:trPr>
        <w:tc>
          <w:tcPr>
            <w:tcW w:w="7656" w:type="dxa"/>
            <w:tcBorders>
              <w:left w:val="single" w:sz="8" w:space="0" w:color="000000"/>
              <w:right w:val="single" w:sz="8" w:space="0" w:color="000000"/>
            </w:tcBorders>
          </w:tcPr>
          <w:p w:rsidR="00AF0AD9" w:rsidRPr="00ED1D4D" w:rsidRDefault="00AF0AD9" w:rsidP="00AF0AD9">
            <w:pPr>
              <w:pStyle w:val="TableParagraph"/>
              <w:spacing w:before="104" w:line="237" w:lineRule="auto"/>
              <w:jc w:val="both"/>
              <w:rPr>
                <w:sz w:val="24"/>
                <w:szCs w:val="24"/>
                <w:lang w:val="pt-BR"/>
              </w:rPr>
            </w:pPr>
            <w:r w:rsidRPr="00ED1D4D">
              <w:rPr>
                <w:sz w:val="24"/>
                <w:szCs w:val="24"/>
                <w:lang w:val="pt-BR"/>
              </w:rPr>
              <w:t>18.01 - Serviços de regulação de sinistros vinculados a contratos de seguros; inspeção e avaliação de riscos para cobertura de contratos de seguros; prevenção e gerência de riscos seguráveis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3"/>
              <w:jc w:val="center"/>
              <w:rPr>
                <w:b/>
                <w:sz w:val="24"/>
                <w:szCs w:val="24"/>
                <w:lang w:val="pt-BR"/>
              </w:rPr>
            </w:pPr>
            <w:r w:rsidRPr="00ED1D4D">
              <w:rPr>
                <w:sz w:val="24"/>
                <w:szCs w:val="24"/>
                <w:lang w:val="pt-BR"/>
              </w:rPr>
              <w:t>3%</w:t>
            </w:r>
          </w:p>
        </w:tc>
      </w:tr>
      <w:tr w:rsidR="00AF0AD9" w:rsidRPr="00ED1D4D" w:rsidTr="004D0A82">
        <w:trPr>
          <w:gridAfter w:val="1"/>
          <w:wAfter w:w="445" w:type="dxa"/>
          <w:trHeight w:val="785"/>
        </w:trPr>
        <w:tc>
          <w:tcPr>
            <w:tcW w:w="7656" w:type="dxa"/>
            <w:tcBorders>
              <w:left w:val="single" w:sz="8" w:space="0" w:color="000000"/>
              <w:right w:val="single" w:sz="8" w:space="0" w:color="000000"/>
            </w:tcBorders>
            <w:shd w:val="clear" w:color="auto" w:fill="BEBEBE"/>
          </w:tcPr>
          <w:p w:rsidR="00AF0AD9" w:rsidRDefault="00AF0AD9" w:rsidP="00AF0AD9">
            <w:pPr>
              <w:pStyle w:val="TableParagraph"/>
              <w:spacing w:before="100"/>
              <w:ind w:right="488"/>
              <w:jc w:val="both"/>
              <w:rPr>
                <w:sz w:val="24"/>
                <w:szCs w:val="24"/>
                <w:lang w:val="pt-BR"/>
              </w:rPr>
            </w:pPr>
            <w:r w:rsidRPr="00ED1D4D">
              <w:rPr>
                <w:sz w:val="24"/>
                <w:szCs w:val="24"/>
                <w:lang w:val="pt-BR"/>
              </w:rPr>
              <w:t>19 – Serviços de distribuição e venda de bilhetes e demais produtos de loteria, bingos, cartões, pules ou cupons de apostas, sorteios, prêmios, inclusive os decorrentes de títulos de capitalização e congêneres.</w:t>
            </w:r>
          </w:p>
          <w:p w:rsidR="00AF0AD9" w:rsidRPr="00ED1D4D" w:rsidRDefault="00AF0AD9" w:rsidP="00AF0AD9">
            <w:pPr>
              <w:pStyle w:val="TableParagraph"/>
              <w:spacing w:before="100"/>
              <w:ind w:right="488"/>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Default="00AF0AD9" w:rsidP="00AF0AD9">
            <w:pPr>
              <w:pStyle w:val="TableParagraph"/>
              <w:spacing w:before="102" w:line="237" w:lineRule="auto"/>
              <w:ind w:right="256"/>
              <w:jc w:val="both"/>
              <w:rPr>
                <w:sz w:val="24"/>
                <w:szCs w:val="24"/>
                <w:lang w:val="pt-BR"/>
              </w:rPr>
            </w:pPr>
            <w:r w:rsidRPr="00ED1D4D">
              <w:rPr>
                <w:sz w:val="24"/>
                <w:szCs w:val="24"/>
                <w:lang w:val="pt-BR"/>
              </w:rPr>
              <w:t>19.01 - Serviços de distribuição e venda de bilhetes e demais produtos de loteria, bingos, cartões, pules ou cupons de apostas, sorteios, prêmios, inclusive os decorrentes de títulos de capitalização e congêneres.</w:t>
            </w:r>
          </w:p>
          <w:p w:rsidR="00AF0AD9" w:rsidRPr="00ED1D4D" w:rsidRDefault="00AF0AD9" w:rsidP="00AF0AD9">
            <w:pPr>
              <w:pStyle w:val="TableParagraph"/>
              <w:spacing w:before="102" w:line="237" w:lineRule="auto"/>
              <w:ind w:right="256"/>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9"/>
        </w:trPr>
        <w:tc>
          <w:tcPr>
            <w:tcW w:w="7656" w:type="dxa"/>
            <w:tcBorders>
              <w:left w:val="single" w:sz="8" w:space="0" w:color="000000"/>
              <w:right w:val="single" w:sz="8" w:space="0" w:color="000000"/>
            </w:tcBorders>
            <w:shd w:val="clear" w:color="auto" w:fill="BEBEBE"/>
          </w:tcPr>
          <w:p w:rsidR="00AF0AD9" w:rsidRDefault="00AF0AD9" w:rsidP="00AF0AD9">
            <w:pPr>
              <w:pStyle w:val="TableParagraph"/>
              <w:spacing w:before="100"/>
              <w:ind w:right="166"/>
              <w:jc w:val="both"/>
              <w:rPr>
                <w:sz w:val="24"/>
                <w:szCs w:val="24"/>
                <w:lang w:val="pt-BR"/>
              </w:rPr>
            </w:pPr>
            <w:r w:rsidRPr="00ED1D4D">
              <w:rPr>
                <w:sz w:val="24"/>
                <w:szCs w:val="24"/>
                <w:lang w:val="pt-BR"/>
              </w:rPr>
              <w:t>20 – Serviços portuários, aeroportuários, ferroportuários, de terminais rodoviários, ferroviários e metroviários.</w:t>
            </w:r>
          </w:p>
          <w:p w:rsidR="00AF0AD9" w:rsidRPr="00ED1D4D" w:rsidRDefault="00AF0AD9" w:rsidP="00AF0AD9">
            <w:pPr>
              <w:pStyle w:val="TableParagraph"/>
              <w:spacing w:before="100"/>
              <w:ind w:right="166"/>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1365"/>
        </w:trPr>
        <w:tc>
          <w:tcPr>
            <w:tcW w:w="7656" w:type="dxa"/>
            <w:tcBorders>
              <w:left w:val="single" w:sz="8" w:space="0" w:color="000000"/>
              <w:right w:val="single" w:sz="8" w:space="0" w:color="000000"/>
            </w:tcBorders>
          </w:tcPr>
          <w:p w:rsidR="00AF0AD9" w:rsidRDefault="00AF0AD9" w:rsidP="00AF0AD9">
            <w:pPr>
              <w:pStyle w:val="TableParagraph"/>
              <w:spacing w:before="100"/>
              <w:ind w:right="92"/>
              <w:jc w:val="both"/>
              <w:rPr>
                <w:sz w:val="24"/>
                <w:szCs w:val="24"/>
                <w:lang w:val="pt-BR"/>
              </w:rPr>
            </w:pPr>
            <w:r w:rsidRPr="00ED1D4D">
              <w:rPr>
                <w:sz w:val="24"/>
                <w:szCs w:val="24"/>
                <w:lang w:val="pt-BR"/>
              </w:rPr>
              <w:lastRenderedPageBreak/>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AF0AD9" w:rsidRPr="00ED1D4D" w:rsidRDefault="00AF0AD9" w:rsidP="00AF0AD9">
            <w:pPr>
              <w:pStyle w:val="TableParagraph"/>
              <w:spacing w:before="100"/>
              <w:ind w:right="92"/>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979"/>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Default="00AF0AD9" w:rsidP="00AF0AD9">
            <w:pPr>
              <w:pStyle w:val="TableParagraph"/>
              <w:tabs>
                <w:tab w:val="left" w:pos="3456"/>
              </w:tabs>
              <w:spacing w:before="100"/>
              <w:ind w:right="80"/>
              <w:jc w:val="both"/>
              <w:rPr>
                <w:sz w:val="24"/>
                <w:szCs w:val="24"/>
                <w:lang w:val="pt-BR"/>
              </w:rPr>
            </w:pPr>
            <w:r w:rsidRPr="00ED1D4D">
              <w:rPr>
                <w:sz w:val="24"/>
                <w:szCs w:val="24"/>
                <w:lang w:val="pt-BR"/>
              </w:rPr>
              <w:t>20.03 – Serviços de terminais rodoviários, ferroviários, metroviários,</w:t>
            </w:r>
            <w:r w:rsidRPr="00ED1D4D">
              <w:rPr>
                <w:spacing w:val="-32"/>
                <w:sz w:val="24"/>
                <w:szCs w:val="24"/>
                <w:lang w:val="pt-BR"/>
              </w:rPr>
              <w:t xml:space="preserve"> </w:t>
            </w:r>
            <w:r w:rsidRPr="00ED1D4D">
              <w:rPr>
                <w:sz w:val="24"/>
                <w:szCs w:val="24"/>
                <w:lang w:val="pt-BR"/>
              </w:rPr>
              <w:t>movimentação de passageiros,</w:t>
            </w:r>
            <w:r w:rsidRPr="00ED1D4D">
              <w:rPr>
                <w:spacing w:val="-5"/>
                <w:sz w:val="24"/>
                <w:szCs w:val="24"/>
                <w:lang w:val="pt-BR"/>
              </w:rPr>
              <w:t xml:space="preserve"> </w:t>
            </w:r>
            <w:r w:rsidRPr="00ED1D4D">
              <w:rPr>
                <w:sz w:val="24"/>
                <w:szCs w:val="24"/>
                <w:lang w:val="pt-BR"/>
              </w:rPr>
              <w:t>mercadorias,</w:t>
            </w:r>
            <w:r w:rsidRPr="00ED1D4D">
              <w:rPr>
                <w:spacing w:val="-3"/>
                <w:sz w:val="24"/>
                <w:szCs w:val="24"/>
                <w:lang w:val="pt-BR"/>
              </w:rPr>
              <w:t xml:space="preserve"> </w:t>
            </w:r>
            <w:r w:rsidRPr="00ED1D4D">
              <w:rPr>
                <w:sz w:val="24"/>
                <w:szCs w:val="24"/>
                <w:lang w:val="pt-BR"/>
              </w:rPr>
              <w:t>inclusive</w:t>
            </w:r>
            <w:r w:rsidRPr="00ED1D4D">
              <w:rPr>
                <w:sz w:val="24"/>
                <w:szCs w:val="24"/>
                <w:lang w:val="pt-BR"/>
              </w:rPr>
              <w:tab/>
              <w:t>suas operações, logística e</w:t>
            </w:r>
            <w:r w:rsidRPr="00ED1D4D">
              <w:rPr>
                <w:spacing w:val="-10"/>
                <w:sz w:val="24"/>
                <w:szCs w:val="24"/>
                <w:lang w:val="pt-BR"/>
              </w:rPr>
              <w:t xml:space="preserve"> </w:t>
            </w:r>
            <w:r w:rsidRPr="00ED1D4D">
              <w:rPr>
                <w:sz w:val="24"/>
                <w:szCs w:val="24"/>
                <w:lang w:val="pt-BR"/>
              </w:rPr>
              <w:t>congêneres.</w:t>
            </w:r>
          </w:p>
          <w:p w:rsidR="00AF0AD9" w:rsidRPr="00ED1D4D" w:rsidRDefault="00AF0AD9" w:rsidP="00AF0AD9">
            <w:pPr>
              <w:pStyle w:val="TableParagraph"/>
              <w:tabs>
                <w:tab w:val="left" w:pos="3456"/>
              </w:tabs>
              <w:spacing w:before="100"/>
              <w:ind w:right="8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3"/>
              <w:jc w:val="both"/>
              <w:rPr>
                <w:sz w:val="24"/>
                <w:szCs w:val="24"/>
                <w:lang w:val="pt-BR"/>
              </w:rPr>
            </w:pPr>
            <w:r w:rsidRPr="00ED1D4D">
              <w:rPr>
                <w:sz w:val="24"/>
                <w:szCs w:val="24"/>
                <w:lang w:val="pt-BR"/>
              </w:rPr>
              <w:t>21 – Serviços de registros públicos, cartorários e notariais.</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21.01 - Serviços de registros públicos, cartorários e notariais.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3"/>
              <w:jc w:val="both"/>
              <w:rPr>
                <w:sz w:val="24"/>
                <w:szCs w:val="24"/>
                <w:lang w:val="pt-BR"/>
              </w:rPr>
            </w:pPr>
            <w:r w:rsidRPr="00ED1D4D">
              <w:rPr>
                <w:sz w:val="24"/>
                <w:szCs w:val="24"/>
                <w:lang w:val="pt-BR"/>
              </w:rPr>
              <w:t>22 – Serviços de exploração de rodovia.</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117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5%</w:t>
            </w:r>
          </w:p>
        </w:tc>
      </w:tr>
      <w:tr w:rsidR="00AF0AD9" w:rsidRPr="00ED1D4D" w:rsidTr="004D0A82">
        <w:trPr>
          <w:gridAfter w:val="1"/>
          <w:wAfter w:w="445" w:type="dxa"/>
          <w:trHeight w:val="588"/>
        </w:trPr>
        <w:tc>
          <w:tcPr>
            <w:tcW w:w="7656" w:type="dxa"/>
            <w:tcBorders>
              <w:left w:val="single" w:sz="8" w:space="0" w:color="000000"/>
              <w:right w:val="single" w:sz="8" w:space="0" w:color="000000"/>
            </w:tcBorders>
            <w:shd w:val="clear" w:color="auto" w:fill="BEBEBE"/>
          </w:tcPr>
          <w:p w:rsidR="00AF0AD9" w:rsidRDefault="00AF0AD9" w:rsidP="00AF0AD9">
            <w:pPr>
              <w:pStyle w:val="TableParagraph"/>
              <w:spacing w:before="102" w:line="237" w:lineRule="auto"/>
              <w:ind w:right="898"/>
              <w:jc w:val="both"/>
              <w:rPr>
                <w:sz w:val="24"/>
                <w:szCs w:val="24"/>
                <w:lang w:val="pt-BR"/>
              </w:rPr>
            </w:pPr>
            <w:r w:rsidRPr="00ED1D4D">
              <w:rPr>
                <w:sz w:val="24"/>
                <w:szCs w:val="24"/>
                <w:lang w:val="pt-BR"/>
              </w:rPr>
              <w:t>23 – Serviços de programação e comunicação visual, desenho industrial e congêneres.</w:t>
            </w:r>
          </w:p>
          <w:p w:rsidR="00AF0AD9" w:rsidRPr="00ED1D4D" w:rsidRDefault="00AF0AD9" w:rsidP="00AF0AD9">
            <w:pPr>
              <w:pStyle w:val="TableParagraph"/>
              <w:spacing w:before="102" w:line="237" w:lineRule="auto"/>
              <w:ind w:right="898"/>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ind w:right="636"/>
              <w:jc w:val="both"/>
              <w:rPr>
                <w:sz w:val="24"/>
                <w:szCs w:val="24"/>
                <w:lang w:val="pt-BR"/>
              </w:rPr>
            </w:pPr>
            <w:r w:rsidRPr="00ED1D4D">
              <w:rPr>
                <w:sz w:val="24"/>
                <w:szCs w:val="24"/>
                <w:lang w:val="pt-BR"/>
              </w:rPr>
              <w:t>23.01 – Serviços de programação e comunicação visual, desenho industrial e congêneres.</w:t>
            </w:r>
          </w:p>
          <w:p w:rsidR="00AF0AD9" w:rsidRPr="00ED1D4D" w:rsidRDefault="00AF0AD9" w:rsidP="00AF0AD9">
            <w:pPr>
              <w:pStyle w:val="TableParagraph"/>
              <w:spacing w:before="100"/>
              <w:ind w:right="636"/>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shd w:val="clear" w:color="auto" w:fill="BEBEBE"/>
          </w:tcPr>
          <w:p w:rsidR="00AF0AD9" w:rsidRDefault="00AF0AD9" w:rsidP="00AF0AD9">
            <w:pPr>
              <w:pStyle w:val="TableParagraph"/>
              <w:spacing w:before="102" w:line="237" w:lineRule="auto"/>
              <w:ind w:right="898"/>
              <w:jc w:val="both"/>
              <w:rPr>
                <w:sz w:val="24"/>
                <w:szCs w:val="24"/>
                <w:lang w:val="pt-BR"/>
              </w:rPr>
            </w:pPr>
            <w:r w:rsidRPr="00ED1D4D">
              <w:rPr>
                <w:sz w:val="24"/>
                <w:szCs w:val="24"/>
                <w:lang w:val="pt-BR"/>
              </w:rPr>
              <w:t>24 – Serviços de chaveiros, confecção de carimbos, placas, sinalização visual, banners, adesivos e congêneres.</w:t>
            </w:r>
          </w:p>
          <w:p w:rsidR="00AF0AD9" w:rsidRPr="00ED1D4D" w:rsidRDefault="00AF0AD9" w:rsidP="00AF0AD9">
            <w:pPr>
              <w:pStyle w:val="TableParagraph"/>
              <w:spacing w:before="102" w:line="237" w:lineRule="auto"/>
              <w:ind w:right="898"/>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89"/>
        </w:trPr>
        <w:tc>
          <w:tcPr>
            <w:tcW w:w="7656" w:type="dxa"/>
            <w:tcBorders>
              <w:left w:val="single" w:sz="8" w:space="0" w:color="000000"/>
              <w:right w:val="single" w:sz="8" w:space="0" w:color="000000"/>
            </w:tcBorders>
          </w:tcPr>
          <w:p w:rsidR="00AF0AD9" w:rsidRDefault="00AF0AD9" w:rsidP="00AF0AD9">
            <w:pPr>
              <w:pStyle w:val="TableParagraph"/>
              <w:spacing w:before="100"/>
              <w:ind w:right="922"/>
              <w:jc w:val="both"/>
              <w:rPr>
                <w:sz w:val="24"/>
                <w:szCs w:val="24"/>
                <w:lang w:val="pt-BR"/>
              </w:rPr>
            </w:pPr>
            <w:r w:rsidRPr="00ED1D4D">
              <w:rPr>
                <w:sz w:val="24"/>
                <w:szCs w:val="24"/>
                <w:lang w:val="pt-BR"/>
              </w:rPr>
              <w:t>24.01 - Serviços de chaveiros, confecção de carimbos, placas, sinalização visual, banners, adesivos e congêneres.</w:t>
            </w:r>
          </w:p>
          <w:p w:rsidR="00AF0AD9" w:rsidRPr="00ED1D4D" w:rsidRDefault="00AF0AD9" w:rsidP="00AF0AD9">
            <w:pPr>
              <w:pStyle w:val="TableParagraph"/>
              <w:spacing w:before="100"/>
              <w:ind w:right="922"/>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rPr>
            </w:pPr>
            <w:r w:rsidRPr="00ED1D4D">
              <w:rPr>
                <w:sz w:val="24"/>
                <w:szCs w:val="24"/>
              </w:rPr>
              <w:t>25 - Serviços funerários.</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1173"/>
        </w:trPr>
        <w:tc>
          <w:tcPr>
            <w:tcW w:w="7656" w:type="dxa"/>
            <w:tcBorders>
              <w:left w:val="single" w:sz="8" w:space="0" w:color="000000"/>
              <w:right w:val="single" w:sz="8" w:space="0" w:color="000000"/>
            </w:tcBorders>
          </w:tcPr>
          <w:p w:rsidR="00AF0AD9" w:rsidRDefault="00AF0AD9" w:rsidP="00AF0AD9">
            <w:pPr>
              <w:pStyle w:val="TableParagraph"/>
              <w:spacing w:before="100"/>
              <w:ind w:right="65"/>
              <w:jc w:val="both"/>
              <w:rPr>
                <w:sz w:val="24"/>
                <w:szCs w:val="24"/>
                <w:lang w:val="pt-BR"/>
              </w:rPr>
            </w:pPr>
            <w:r w:rsidRPr="00ED1D4D">
              <w:rPr>
                <w:sz w:val="24"/>
                <w:szCs w:val="24"/>
                <w:lang w:val="pt-BR"/>
              </w:rPr>
              <w:lastRenderedPageBreak/>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AF0AD9" w:rsidRPr="00ED1D4D" w:rsidRDefault="00AF0AD9" w:rsidP="00AF0AD9">
            <w:pPr>
              <w:pStyle w:val="TableParagraph"/>
              <w:spacing w:before="100"/>
              <w:ind w:right="65"/>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b/>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Default="00AF0AD9" w:rsidP="00AF0AD9">
            <w:pPr>
              <w:pStyle w:val="TableParagraph"/>
              <w:spacing w:before="100"/>
              <w:jc w:val="both"/>
              <w:rPr>
                <w:color w:val="0000FF"/>
                <w:sz w:val="24"/>
                <w:szCs w:val="24"/>
                <w:lang w:val="pt-BR"/>
              </w:rPr>
            </w:pPr>
            <w:r w:rsidRPr="00ED1D4D">
              <w:rPr>
                <w:sz w:val="24"/>
                <w:szCs w:val="24"/>
                <w:lang w:val="pt-BR"/>
              </w:rPr>
              <w:t>25.02 - Translado intramunicipal e cremação de corpos e partes de corpos cadavéricos.</w:t>
            </w:r>
            <w:r w:rsidRPr="00ED1D4D">
              <w:rPr>
                <w:color w:val="0000FF"/>
                <w:sz w:val="24"/>
                <w:szCs w:val="24"/>
                <w:lang w:val="pt-BR"/>
              </w:rPr>
              <w:t xml:space="preserve"> </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Default="00AF0AD9" w:rsidP="00AF0AD9">
            <w:pPr>
              <w:pStyle w:val="TableParagraph"/>
              <w:spacing w:before="101"/>
              <w:jc w:val="both"/>
              <w:rPr>
                <w:sz w:val="24"/>
                <w:szCs w:val="24"/>
              </w:rPr>
            </w:pPr>
            <w:r w:rsidRPr="00ED1D4D">
              <w:rPr>
                <w:sz w:val="24"/>
                <w:szCs w:val="24"/>
              </w:rPr>
              <w:t>25.03 – Planos ou convênio funerários.</w:t>
            </w:r>
          </w:p>
          <w:p w:rsidR="00AF0AD9" w:rsidRPr="00ED1D4D" w:rsidRDefault="00AF0AD9" w:rsidP="00AF0AD9">
            <w:pPr>
              <w:pStyle w:val="TableParagraph"/>
              <w:spacing w:before="101"/>
              <w:jc w:val="both"/>
              <w:rPr>
                <w:sz w:val="24"/>
                <w:szCs w:val="24"/>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sz w:val="24"/>
                <w:szCs w:val="24"/>
              </w:rPr>
            </w:pPr>
            <w:r w:rsidRPr="00ED1D4D">
              <w:rPr>
                <w:sz w:val="24"/>
                <w:szCs w:val="24"/>
                <w:lang w:val="pt-BR"/>
              </w:rPr>
              <w:t>3%</w:t>
            </w: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Default="00AF0AD9" w:rsidP="00AF0AD9">
            <w:pPr>
              <w:pStyle w:val="TableParagraph"/>
              <w:spacing w:before="100"/>
              <w:jc w:val="both"/>
              <w:rPr>
                <w:sz w:val="24"/>
                <w:szCs w:val="24"/>
                <w:lang w:val="pt-BR"/>
              </w:rPr>
            </w:pPr>
            <w:r w:rsidRPr="00ED1D4D">
              <w:rPr>
                <w:sz w:val="24"/>
                <w:szCs w:val="24"/>
                <w:lang w:val="pt-BR"/>
              </w:rPr>
              <w:t>25.04 – Manutenção e conservação de jazigos e cemitérios.</w:t>
            </w:r>
          </w:p>
          <w:p w:rsidR="00AF0AD9" w:rsidRPr="00ED1D4D" w:rsidRDefault="00AF0AD9" w:rsidP="00AF0AD9">
            <w:pPr>
              <w:pStyle w:val="TableParagraph"/>
              <w:spacing w:before="100"/>
              <w:jc w:val="both"/>
              <w:rPr>
                <w:sz w:val="24"/>
                <w:szCs w:val="24"/>
                <w:lang w:val="pt-BR"/>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133"/>
              <w:jc w:val="both"/>
              <w:rPr>
                <w:sz w:val="24"/>
                <w:szCs w:val="24"/>
                <w:lang w:val="pt-BR"/>
              </w:rPr>
            </w:pPr>
            <w:r w:rsidRPr="00ED1D4D">
              <w:rPr>
                <w:sz w:val="24"/>
                <w:szCs w:val="24"/>
                <w:lang w:val="pt-BR"/>
              </w:rPr>
              <w:t>25.05 - Cessão de uso de espaços em cemitérios para sepultamento.</w:t>
            </w:r>
            <w:r w:rsidRPr="00ED1D4D">
              <w:rPr>
                <w:color w:val="0000FF"/>
                <w:sz w:val="24"/>
                <w:szCs w:val="24"/>
                <w:lang w:val="pt-BR"/>
              </w:rPr>
              <w:t xml:space="preserve"> </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rPr>
            </w:pPr>
            <w:r w:rsidRPr="00ED1D4D">
              <w:rPr>
                <w:sz w:val="24"/>
                <w:szCs w:val="24"/>
                <w:lang w:val="pt-BR"/>
              </w:rPr>
              <w:t>3%</w:t>
            </w:r>
          </w:p>
        </w:tc>
      </w:tr>
      <w:tr w:rsidR="00AF0AD9" w:rsidRPr="00ED1D4D" w:rsidTr="004D0A82">
        <w:trPr>
          <w:gridAfter w:val="1"/>
          <w:wAfter w:w="445" w:type="dxa"/>
          <w:trHeight w:val="1062"/>
        </w:trPr>
        <w:tc>
          <w:tcPr>
            <w:tcW w:w="7656" w:type="dxa"/>
            <w:tcBorders>
              <w:left w:val="single" w:sz="8" w:space="0" w:color="000000"/>
              <w:right w:val="single" w:sz="8" w:space="0" w:color="000000"/>
            </w:tcBorders>
            <w:shd w:val="clear" w:color="auto" w:fill="BEBEBE"/>
          </w:tcPr>
          <w:p w:rsidR="00AF0AD9" w:rsidRPr="00EA3B5B" w:rsidRDefault="00AF0AD9" w:rsidP="00AF0AD9">
            <w:pPr>
              <w:pStyle w:val="TableParagraph"/>
              <w:spacing w:before="100" w:line="242" w:lineRule="auto"/>
              <w:ind w:right="407"/>
              <w:jc w:val="both"/>
              <w:rPr>
                <w:sz w:val="24"/>
                <w:szCs w:val="24"/>
                <w:lang w:val="pt-BR"/>
              </w:rPr>
            </w:pPr>
            <w:r w:rsidRPr="00ED1D4D">
              <w:rPr>
                <w:sz w:val="24"/>
                <w:szCs w:val="24"/>
                <w:lang w:val="pt-BR"/>
              </w:rPr>
              <w:t>26 – Serviços de coleta, remessa ou entrega de correspondências, documentos, objetos, bens ou valores, inclusive pelos correios e suas agências</w:t>
            </w:r>
            <w:r>
              <w:rPr>
                <w:sz w:val="24"/>
                <w:szCs w:val="24"/>
                <w:lang w:val="pt-BR"/>
              </w:rPr>
              <w:t xml:space="preserve"> </w:t>
            </w:r>
            <w:r w:rsidRPr="00EA3B5B">
              <w:rPr>
                <w:sz w:val="24"/>
                <w:szCs w:val="24"/>
                <w:lang w:val="pt-BR"/>
              </w:rPr>
              <w:t>franqueadas; courrier e congêneres.</w:t>
            </w:r>
          </w:p>
          <w:p w:rsidR="00AF0AD9" w:rsidRPr="007A01C4" w:rsidRDefault="00AF0AD9" w:rsidP="00AF0AD9">
            <w:pPr>
              <w:pStyle w:val="TableParagraph"/>
              <w:spacing w:before="100" w:line="242" w:lineRule="auto"/>
              <w:ind w:right="407"/>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525512" w:rsidRDefault="00AF0AD9" w:rsidP="00AF0AD9">
            <w:pPr>
              <w:pStyle w:val="TableParagraph"/>
              <w:jc w:val="center"/>
              <w:rPr>
                <w:sz w:val="24"/>
                <w:szCs w:val="24"/>
                <w:lang w:val="pt-BR"/>
              </w:rPr>
            </w:pPr>
          </w:p>
        </w:tc>
      </w:tr>
      <w:tr w:rsidR="00AF0AD9" w:rsidRPr="00ED1D4D" w:rsidTr="004D0A82">
        <w:trPr>
          <w:gridAfter w:val="1"/>
          <w:wAfter w:w="445" w:type="dxa"/>
          <w:trHeight w:val="782"/>
        </w:trPr>
        <w:tc>
          <w:tcPr>
            <w:tcW w:w="7656" w:type="dxa"/>
            <w:tcBorders>
              <w:left w:val="single" w:sz="8" w:space="0" w:color="000000"/>
              <w:right w:val="single" w:sz="8" w:space="0" w:color="000000"/>
            </w:tcBorders>
          </w:tcPr>
          <w:p w:rsidR="00AF0AD9" w:rsidRPr="00ED1D4D" w:rsidRDefault="00AF0AD9" w:rsidP="00AF0AD9">
            <w:pPr>
              <w:pStyle w:val="TableParagraph"/>
              <w:spacing w:before="100" w:line="242" w:lineRule="auto"/>
              <w:ind w:right="145"/>
              <w:jc w:val="both"/>
              <w:rPr>
                <w:sz w:val="24"/>
                <w:szCs w:val="24"/>
                <w:lang w:val="pt-BR"/>
              </w:rPr>
            </w:pPr>
            <w:r w:rsidRPr="00ED1D4D">
              <w:rPr>
                <w:sz w:val="24"/>
                <w:szCs w:val="24"/>
                <w:lang w:val="pt-BR"/>
              </w:rPr>
              <w:t>26.01 – Serviços de coleta, remessa ou entrega de correspondências, documentos, objetos, bens ou valores, inclusive pelos correios e suas agências</w:t>
            </w:r>
          </w:p>
          <w:p w:rsidR="00AF0AD9" w:rsidRDefault="00AF0AD9" w:rsidP="00AF0AD9">
            <w:pPr>
              <w:pStyle w:val="TableParagraph"/>
              <w:spacing w:line="190" w:lineRule="exact"/>
              <w:jc w:val="both"/>
              <w:rPr>
                <w:sz w:val="24"/>
                <w:szCs w:val="24"/>
              </w:rPr>
            </w:pPr>
            <w:r w:rsidRPr="00ED1D4D">
              <w:rPr>
                <w:sz w:val="24"/>
                <w:szCs w:val="24"/>
              </w:rPr>
              <w:t>franqueadas; courrier e congêneres.</w:t>
            </w:r>
          </w:p>
          <w:p w:rsidR="00AF0AD9" w:rsidRPr="00ED1D4D" w:rsidRDefault="00AF0AD9" w:rsidP="00AF0AD9">
            <w:pPr>
              <w:pStyle w:val="TableParagraph"/>
              <w:spacing w:line="190" w:lineRule="exact"/>
              <w:jc w:val="both"/>
              <w:rPr>
                <w:sz w:val="24"/>
                <w:szCs w:val="24"/>
              </w:rPr>
            </w:pP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rPr>
            </w:pPr>
            <w:r w:rsidRPr="00ED1D4D">
              <w:rPr>
                <w:sz w:val="24"/>
                <w:szCs w:val="24"/>
                <w:lang w:val="pt-BR"/>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3"/>
              <w:jc w:val="both"/>
              <w:rPr>
                <w:sz w:val="24"/>
                <w:szCs w:val="24"/>
              </w:rPr>
            </w:pPr>
            <w:r w:rsidRPr="00ED1D4D">
              <w:rPr>
                <w:sz w:val="24"/>
                <w:szCs w:val="24"/>
              </w:rPr>
              <w:t>27 – Serviços de assistência social.</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27.01 – Serviços de assistência social.</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rPr>
            </w:pPr>
            <w:r w:rsidRPr="00ED1D4D">
              <w:rPr>
                <w:sz w:val="24"/>
                <w:szCs w:val="24"/>
                <w:lang w:val="pt-BR"/>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3"/>
              <w:jc w:val="both"/>
              <w:rPr>
                <w:sz w:val="24"/>
                <w:szCs w:val="24"/>
                <w:lang w:val="pt-BR"/>
              </w:rPr>
            </w:pPr>
            <w:r w:rsidRPr="00ED1D4D">
              <w:rPr>
                <w:sz w:val="24"/>
                <w:szCs w:val="24"/>
                <w:lang w:val="pt-BR"/>
              </w:rPr>
              <w:t>28 – Serviços de avaliação de bens e serviços de qualquer natureza.</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28.01 – Serviços de avaliação de bens e serviços de qualquer natureza.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3"/>
              <w:jc w:val="both"/>
              <w:rPr>
                <w:sz w:val="24"/>
                <w:szCs w:val="24"/>
              </w:rPr>
            </w:pPr>
            <w:r w:rsidRPr="00ED1D4D">
              <w:rPr>
                <w:sz w:val="24"/>
                <w:szCs w:val="24"/>
              </w:rPr>
              <w:t>29 – Serviços de biblioteconomia.</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29.01 – Serviços de biblioteconomia.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rPr>
            </w:pPr>
            <w:r w:rsidRPr="00ED1D4D">
              <w:rPr>
                <w:sz w:val="24"/>
                <w:szCs w:val="24"/>
                <w:lang w:val="pt-BR"/>
              </w:rPr>
              <w:t>3%</w:t>
            </w:r>
          </w:p>
        </w:tc>
      </w:tr>
      <w:tr w:rsidR="00AF0AD9" w:rsidRPr="00ED1D4D" w:rsidTr="004D0A82">
        <w:trPr>
          <w:gridAfter w:val="1"/>
          <w:wAfter w:w="445" w:type="dxa"/>
          <w:trHeight w:val="47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3"/>
              <w:jc w:val="both"/>
              <w:rPr>
                <w:sz w:val="24"/>
                <w:szCs w:val="24"/>
                <w:lang w:val="pt-BR"/>
              </w:rPr>
            </w:pPr>
            <w:r w:rsidRPr="00ED1D4D">
              <w:rPr>
                <w:sz w:val="24"/>
                <w:szCs w:val="24"/>
                <w:lang w:val="pt-BR"/>
              </w:rPr>
              <w:t>30 – Serviços de biologia, biotecnologia e química.</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3"/>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30.01 – Serviços de biologia, biotecnologia e química.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590"/>
        </w:trPr>
        <w:tc>
          <w:tcPr>
            <w:tcW w:w="7656" w:type="dxa"/>
            <w:tcBorders>
              <w:left w:val="single" w:sz="8" w:space="0" w:color="000000"/>
              <w:right w:val="single" w:sz="8" w:space="0" w:color="000000"/>
            </w:tcBorders>
            <w:shd w:val="clear" w:color="auto" w:fill="BEBEBE"/>
          </w:tcPr>
          <w:p w:rsidR="00AF0AD9" w:rsidRDefault="00AF0AD9" w:rsidP="00AF0AD9">
            <w:pPr>
              <w:pStyle w:val="TableParagraph"/>
              <w:spacing w:before="104" w:line="237" w:lineRule="auto"/>
              <w:ind w:right="847"/>
              <w:jc w:val="both"/>
              <w:rPr>
                <w:sz w:val="24"/>
                <w:szCs w:val="24"/>
                <w:lang w:val="pt-BR"/>
              </w:rPr>
            </w:pPr>
            <w:r w:rsidRPr="00ED1D4D">
              <w:rPr>
                <w:sz w:val="24"/>
                <w:szCs w:val="24"/>
                <w:lang w:val="pt-BR"/>
              </w:rPr>
              <w:t>31 – Serviços técnicos em edificações, eletrônica, eletrotécnica, mecânica, telecomunicações e congêneres.</w:t>
            </w:r>
          </w:p>
          <w:p w:rsidR="00AF0AD9" w:rsidRPr="00ED1D4D" w:rsidRDefault="00AF0AD9" w:rsidP="00AF0AD9">
            <w:pPr>
              <w:pStyle w:val="TableParagraph"/>
              <w:spacing w:before="104" w:line="237" w:lineRule="auto"/>
              <w:ind w:right="847"/>
              <w:jc w:val="both"/>
              <w:rPr>
                <w:sz w:val="24"/>
                <w:szCs w:val="24"/>
                <w:lang w:val="pt-BR"/>
              </w:rPr>
            </w:pP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614"/>
              <w:jc w:val="both"/>
              <w:rPr>
                <w:sz w:val="24"/>
                <w:szCs w:val="24"/>
                <w:lang w:val="pt-BR"/>
              </w:rPr>
            </w:pPr>
            <w:r w:rsidRPr="00ED1D4D">
              <w:rPr>
                <w:sz w:val="24"/>
                <w:szCs w:val="24"/>
                <w:lang w:val="pt-BR"/>
              </w:rPr>
              <w:t>31.01 - Serviços técnicos em edificações, eletrônica, eletrotécnica, mecânica, telecomunicações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rPr>
            </w:pPr>
            <w:r w:rsidRPr="00ED1D4D">
              <w:rPr>
                <w:sz w:val="24"/>
                <w:szCs w:val="24"/>
              </w:rPr>
              <w:lastRenderedPageBreak/>
              <w:t>32 – Serviços de desenhos técnicos.</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32.01 - Serviços de desenhos técnicos.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lang w:val="pt-BR"/>
              </w:rPr>
            </w:pPr>
            <w:r w:rsidRPr="00ED1D4D">
              <w:rPr>
                <w:sz w:val="24"/>
                <w:szCs w:val="24"/>
                <w:lang w:val="pt-BR"/>
              </w:rPr>
              <w:t>33 – Serviços de desembaraço aduaneiro, comissários, despachantes e congêneres.</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89"/>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33.01 - Serviços de desembaraço aduaneiro, comissários, despachantes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lang w:val="pt-BR"/>
              </w:rPr>
            </w:pPr>
            <w:r w:rsidRPr="00ED1D4D">
              <w:rPr>
                <w:sz w:val="24"/>
                <w:szCs w:val="24"/>
                <w:lang w:val="pt-BR"/>
              </w:rPr>
              <w:t>34 – Serviços de investigações particulares, detetives e congêneres.</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34.01 - Serviços de investigações particulares, detetives e congêneres.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587"/>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2" w:line="237" w:lineRule="auto"/>
              <w:ind w:right="135"/>
              <w:jc w:val="both"/>
              <w:rPr>
                <w:sz w:val="24"/>
                <w:szCs w:val="24"/>
                <w:lang w:val="pt-BR"/>
              </w:rPr>
            </w:pPr>
            <w:r w:rsidRPr="00ED1D4D">
              <w:rPr>
                <w:sz w:val="24"/>
                <w:szCs w:val="24"/>
                <w:lang w:val="pt-BR"/>
              </w:rPr>
              <w:t>35 – Serviços de reportagem, assessoria de imprensa, jornalismo e relações públicas.</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135"/>
              <w:jc w:val="both"/>
              <w:rPr>
                <w:sz w:val="24"/>
                <w:szCs w:val="24"/>
                <w:lang w:val="pt-BR"/>
              </w:rPr>
            </w:pPr>
            <w:r w:rsidRPr="00ED1D4D">
              <w:rPr>
                <w:sz w:val="24"/>
                <w:szCs w:val="24"/>
                <w:lang w:val="pt-BR"/>
              </w:rPr>
              <w:t>35.01 - Serviços de reportagem, assessoria de imprensa, jornalismo e relações públicas.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rPr>
            </w:pPr>
            <w:r w:rsidRPr="00ED1D4D">
              <w:rPr>
                <w:sz w:val="24"/>
                <w:szCs w:val="24"/>
              </w:rPr>
              <w:t>36 – Serviços de meteorologia.</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rPr>
            </w:pPr>
          </w:p>
        </w:tc>
      </w:tr>
      <w:tr w:rsidR="00AF0AD9" w:rsidRPr="00ED1D4D" w:rsidTr="004D0A82">
        <w:trPr>
          <w:gridAfter w:val="1"/>
          <w:wAfter w:w="445" w:type="dxa"/>
          <w:trHeight w:val="393"/>
        </w:trPr>
        <w:tc>
          <w:tcPr>
            <w:tcW w:w="7656" w:type="dxa"/>
            <w:tcBorders>
              <w:left w:val="single" w:sz="8" w:space="0" w:color="000000"/>
              <w:bottom w:val="single" w:sz="6"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36.01 – Serviços de meteorologia.</w:t>
            </w:r>
          </w:p>
        </w:tc>
        <w:tc>
          <w:tcPr>
            <w:tcW w:w="1984" w:type="dxa"/>
            <w:tcBorders>
              <w:left w:val="single" w:sz="8" w:space="0" w:color="000000"/>
              <w:bottom w:val="single" w:sz="6" w:space="0" w:color="000000"/>
              <w:right w:val="single" w:sz="8" w:space="0" w:color="000000"/>
            </w:tcBorders>
          </w:tcPr>
          <w:p w:rsidR="00AF0AD9" w:rsidRPr="00ED1D4D" w:rsidRDefault="00AF0AD9" w:rsidP="00AF0AD9">
            <w:pPr>
              <w:pStyle w:val="TableParagraph"/>
              <w:spacing w:before="100"/>
              <w:jc w:val="center"/>
              <w:rPr>
                <w:sz w:val="24"/>
                <w:szCs w:val="24"/>
              </w:rPr>
            </w:pPr>
            <w:r w:rsidRPr="00ED1D4D">
              <w:rPr>
                <w:sz w:val="24"/>
                <w:szCs w:val="24"/>
                <w:lang w:val="pt-BR"/>
              </w:rPr>
              <w:t>3%</w:t>
            </w:r>
          </w:p>
        </w:tc>
      </w:tr>
      <w:tr w:rsidR="00AF0AD9" w:rsidRPr="00ED1D4D" w:rsidTr="004D0A82">
        <w:trPr>
          <w:gridAfter w:val="1"/>
          <w:wAfter w:w="445" w:type="dxa"/>
          <w:trHeight w:val="472"/>
        </w:trPr>
        <w:tc>
          <w:tcPr>
            <w:tcW w:w="7656" w:type="dxa"/>
            <w:tcBorders>
              <w:top w:val="single" w:sz="6" w:space="0" w:color="000000"/>
              <w:left w:val="single" w:sz="8" w:space="0" w:color="000000"/>
              <w:right w:val="single" w:sz="8" w:space="0" w:color="000000"/>
            </w:tcBorders>
            <w:shd w:val="clear" w:color="auto" w:fill="BEBEBE"/>
          </w:tcPr>
          <w:p w:rsidR="00AF0AD9" w:rsidRPr="00ED1D4D" w:rsidRDefault="00AF0AD9" w:rsidP="00AF0AD9">
            <w:pPr>
              <w:pStyle w:val="TableParagraph"/>
              <w:spacing w:before="98"/>
              <w:jc w:val="both"/>
              <w:rPr>
                <w:sz w:val="24"/>
                <w:szCs w:val="24"/>
                <w:lang w:val="pt-BR"/>
              </w:rPr>
            </w:pPr>
            <w:r w:rsidRPr="00ED1D4D">
              <w:rPr>
                <w:sz w:val="24"/>
                <w:szCs w:val="24"/>
                <w:lang w:val="pt-BR"/>
              </w:rPr>
              <w:t>37 – Serviços de artistas, atletas, modelos e manequins.</w:t>
            </w:r>
          </w:p>
        </w:tc>
        <w:tc>
          <w:tcPr>
            <w:tcW w:w="1984" w:type="dxa"/>
            <w:tcBorders>
              <w:top w:val="single" w:sz="6" w:space="0" w:color="000000"/>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lang w:val="pt-BR"/>
              </w:rPr>
            </w:pPr>
            <w:r w:rsidRPr="00ED1D4D">
              <w:rPr>
                <w:sz w:val="24"/>
                <w:szCs w:val="24"/>
                <w:lang w:val="pt-BR"/>
              </w:rPr>
              <w:t>37.01 - Serviços de artistas, atletas, modelos e manequins.</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rPr>
            </w:pPr>
            <w:r w:rsidRPr="00ED1D4D">
              <w:rPr>
                <w:sz w:val="24"/>
                <w:szCs w:val="24"/>
              </w:rPr>
              <w:t>38 – Serviços de museologia.</w:t>
            </w:r>
          </w:p>
        </w:tc>
        <w:tc>
          <w:tcPr>
            <w:tcW w:w="1984" w:type="dxa"/>
            <w:tcBorders>
              <w:left w:val="single" w:sz="8" w:space="0" w:color="000000"/>
              <w:right w:val="single" w:sz="8" w:space="0" w:color="000000"/>
            </w:tcBorders>
            <w:shd w:val="clear" w:color="auto" w:fill="BEBEBE"/>
          </w:tcPr>
          <w:p w:rsidR="00AF0AD9" w:rsidRPr="00ED1D4D" w:rsidRDefault="00AF0AD9" w:rsidP="00AF0AD9">
            <w:pPr>
              <w:jc w:val="center"/>
              <w:rPr>
                <w:rFonts w:ascii="Times New Roman" w:hAnsi="Times New Roman" w:cs="Times New Roman"/>
                <w:sz w:val="24"/>
                <w:szCs w:val="24"/>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0"/>
              <w:jc w:val="both"/>
              <w:rPr>
                <w:sz w:val="24"/>
                <w:szCs w:val="24"/>
              </w:rPr>
            </w:pPr>
            <w:r w:rsidRPr="00ED1D4D">
              <w:rPr>
                <w:sz w:val="24"/>
                <w:szCs w:val="24"/>
              </w:rPr>
              <w:t>38.01 – Serviços de museologia.</w:t>
            </w:r>
          </w:p>
        </w:tc>
        <w:tc>
          <w:tcPr>
            <w:tcW w:w="1984" w:type="dxa"/>
            <w:tcBorders>
              <w:left w:val="single" w:sz="8" w:space="0" w:color="000000"/>
              <w:right w:val="single" w:sz="8" w:space="0" w:color="000000"/>
            </w:tcBorders>
          </w:tcPr>
          <w:p w:rsidR="00AF0AD9" w:rsidRPr="00ED1D4D" w:rsidRDefault="00AF0AD9" w:rsidP="00AF0AD9">
            <w:pPr>
              <w:jc w:val="center"/>
              <w:rPr>
                <w:rFonts w:ascii="Times New Roman" w:hAnsi="Times New Roman" w:cs="Times New Roman"/>
                <w:sz w:val="24"/>
                <w:szCs w:val="24"/>
              </w:rPr>
            </w:pPr>
            <w:r w:rsidRPr="00ED1D4D">
              <w:rPr>
                <w:rFonts w:ascii="Times New Roman" w:hAnsi="Times New Roman" w:cs="Times New Roman"/>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lang w:val="pt-BR"/>
              </w:rPr>
            </w:pPr>
            <w:r w:rsidRPr="00ED1D4D">
              <w:rPr>
                <w:sz w:val="24"/>
                <w:szCs w:val="24"/>
                <w:lang w:val="pt-BR"/>
              </w:rPr>
              <w:t>39 – Serviços de ourivesaria e lapidação.</w:t>
            </w:r>
          </w:p>
        </w:tc>
        <w:tc>
          <w:tcPr>
            <w:tcW w:w="1984" w:type="dxa"/>
            <w:tcBorders>
              <w:left w:val="single" w:sz="8" w:space="0" w:color="000000"/>
              <w:right w:val="single" w:sz="8" w:space="0" w:color="000000"/>
            </w:tcBorders>
            <w:shd w:val="clear" w:color="auto" w:fill="BEBEBE"/>
          </w:tcPr>
          <w:p w:rsidR="00AF0AD9" w:rsidRPr="00525512" w:rsidRDefault="00AF0AD9" w:rsidP="00AF0AD9">
            <w:pPr>
              <w:jc w:val="center"/>
              <w:rPr>
                <w:rFonts w:ascii="Times New Roman" w:hAnsi="Times New Roman" w:cs="Times New Roman"/>
                <w:sz w:val="24"/>
                <w:szCs w:val="24"/>
                <w:lang w:val="pt-BR"/>
              </w:rPr>
            </w:pPr>
          </w:p>
        </w:tc>
      </w:tr>
      <w:tr w:rsidR="00AF0AD9" w:rsidRPr="00ED1D4D" w:rsidTr="004D0A82">
        <w:trPr>
          <w:gridAfter w:val="1"/>
          <w:wAfter w:w="445" w:type="dxa"/>
          <w:trHeight w:val="590"/>
        </w:trPr>
        <w:tc>
          <w:tcPr>
            <w:tcW w:w="7656" w:type="dxa"/>
            <w:tcBorders>
              <w:left w:val="single" w:sz="8" w:space="0" w:color="000000"/>
              <w:right w:val="single" w:sz="8" w:space="0" w:color="000000"/>
            </w:tcBorders>
          </w:tcPr>
          <w:p w:rsidR="00AF0AD9" w:rsidRPr="00ED1D4D" w:rsidRDefault="00AF0AD9" w:rsidP="00AF0AD9">
            <w:pPr>
              <w:pStyle w:val="TableParagraph"/>
              <w:spacing w:before="100"/>
              <w:ind w:right="312"/>
              <w:jc w:val="both"/>
              <w:rPr>
                <w:sz w:val="24"/>
                <w:szCs w:val="24"/>
                <w:lang w:val="pt-BR"/>
              </w:rPr>
            </w:pPr>
            <w:r w:rsidRPr="00ED1D4D">
              <w:rPr>
                <w:sz w:val="24"/>
                <w:szCs w:val="24"/>
                <w:lang w:val="pt-BR"/>
              </w:rPr>
              <w:t>39.01 - Serviços de ourivesaria e lapidação (quando o material for fornecido pelo tomador do serviço).</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0"/>
              <w:jc w:val="center"/>
              <w:rPr>
                <w:sz w:val="24"/>
                <w:szCs w:val="24"/>
                <w:lang w:val="pt-BR"/>
              </w:rPr>
            </w:pPr>
            <w:r w:rsidRPr="00ED1D4D">
              <w:rPr>
                <w:sz w:val="24"/>
                <w:szCs w:val="24"/>
                <w:lang w:val="pt-BR"/>
              </w:rPr>
              <w:t>3%</w:t>
            </w:r>
          </w:p>
        </w:tc>
      </w:tr>
      <w:tr w:rsidR="00AF0AD9" w:rsidRPr="00ED1D4D" w:rsidTr="004D0A82">
        <w:trPr>
          <w:gridAfter w:val="1"/>
          <w:wAfter w:w="445" w:type="dxa"/>
          <w:trHeight w:val="474"/>
        </w:trPr>
        <w:tc>
          <w:tcPr>
            <w:tcW w:w="7656" w:type="dxa"/>
            <w:tcBorders>
              <w:left w:val="single" w:sz="8" w:space="0" w:color="000000"/>
              <w:right w:val="single" w:sz="8" w:space="0" w:color="000000"/>
            </w:tcBorders>
            <w:shd w:val="clear" w:color="auto" w:fill="BEBEBE"/>
          </w:tcPr>
          <w:p w:rsidR="00AF0AD9" w:rsidRPr="00ED1D4D" w:rsidRDefault="00AF0AD9" w:rsidP="00AF0AD9">
            <w:pPr>
              <w:pStyle w:val="TableParagraph"/>
              <w:spacing w:before="100"/>
              <w:jc w:val="both"/>
              <w:rPr>
                <w:sz w:val="24"/>
                <w:szCs w:val="24"/>
                <w:lang w:val="pt-BR"/>
              </w:rPr>
            </w:pPr>
            <w:r w:rsidRPr="00ED1D4D">
              <w:rPr>
                <w:sz w:val="24"/>
                <w:szCs w:val="24"/>
                <w:lang w:val="pt-BR"/>
              </w:rPr>
              <w:t>40 – Serviços relativos a obras de arte sob encomenda.</w:t>
            </w:r>
          </w:p>
        </w:tc>
        <w:tc>
          <w:tcPr>
            <w:tcW w:w="1984" w:type="dxa"/>
            <w:tcBorders>
              <w:left w:val="single" w:sz="8" w:space="0" w:color="000000"/>
              <w:right w:val="single" w:sz="8" w:space="0" w:color="000000"/>
            </w:tcBorders>
            <w:shd w:val="clear" w:color="auto" w:fill="BEBEBE"/>
          </w:tcPr>
          <w:p w:rsidR="00AF0AD9" w:rsidRPr="00ED1D4D" w:rsidRDefault="00AF0AD9" w:rsidP="00AF0AD9">
            <w:pPr>
              <w:pStyle w:val="TableParagraph"/>
              <w:jc w:val="center"/>
              <w:rPr>
                <w:sz w:val="24"/>
                <w:szCs w:val="24"/>
                <w:lang w:val="pt-BR"/>
              </w:rPr>
            </w:pPr>
          </w:p>
        </w:tc>
      </w:tr>
      <w:tr w:rsidR="00AF0AD9" w:rsidRPr="00ED1D4D" w:rsidTr="004D0A82">
        <w:trPr>
          <w:gridAfter w:val="1"/>
          <w:wAfter w:w="445" w:type="dxa"/>
          <w:trHeight w:val="395"/>
        </w:trPr>
        <w:tc>
          <w:tcPr>
            <w:tcW w:w="7656" w:type="dxa"/>
            <w:tcBorders>
              <w:left w:val="single" w:sz="8" w:space="0" w:color="000000"/>
              <w:right w:val="single" w:sz="8" w:space="0" w:color="000000"/>
            </w:tcBorders>
          </w:tcPr>
          <w:p w:rsidR="00AF0AD9" w:rsidRPr="00ED1D4D" w:rsidRDefault="00AF0AD9" w:rsidP="00AF0AD9">
            <w:pPr>
              <w:pStyle w:val="TableParagraph"/>
              <w:spacing w:before="101"/>
              <w:jc w:val="both"/>
              <w:rPr>
                <w:sz w:val="24"/>
                <w:szCs w:val="24"/>
                <w:lang w:val="pt-BR"/>
              </w:rPr>
            </w:pPr>
            <w:r w:rsidRPr="00ED1D4D">
              <w:rPr>
                <w:sz w:val="24"/>
                <w:szCs w:val="24"/>
                <w:lang w:val="pt-BR"/>
              </w:rPr>
              <w:t>40.01 - Obras de arte sob encomenda.</w:t>
            </w:r>
          </w:p>
        </w:tc>
        <w:tc>
          <w:tcPr>
            <w:tcW w:w="1984" w:type="dxa"/>
            <w:tcBorders>
              <w:left w:val="single" w:sz="8" w:space="0" w:color="000000"/>
              <w:right w:val="single" w:sz="8" w:space="0" w:color="000000"/>
            </w:tcBorders>
          </w:tcPr>
          <w:p w:rsidR="00AF0AD9" w:rsidRPr="00ED1D4D" w:rsidRDefault="00AF0AD9" w:rsidP="00AF0AD9">
            <w:pPr>
              <w:pStyle w:val="TableParagraph"/>
              <w:spacing w:before="101"/>
              <w:jc w:val="center"/>
              <w:rPr>
                <w:sz w:val="24"/>
                <w:szCs w:val="24"/>
                <w:lang w:val="pt-BR"/>
              </w:rPr>
            </w:pPr>
            <w:r w:rsidRPr="00ED1D4D">
              <w:rPr>
                <w:sz w:val="24"/>
                <w:szCs w:val="24"/>
                <w:lang w:val="pt-BR"/>
              </w:rPr>
              <w:t>3%</w:t>
            </w:r>
          </w:p>
        </w:tc>
      </w:tr>
    </w:tbl>
    <w:p w:rsidR="00AF0AD9" w:rsidRPr="00D55475" w:rsidRDefault="00D55475" w:rsidP="00AF0AD9">
      <w:pPr>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D55475">
        <w:rPr>
          <w:rFonts w:ascii="Times New Roman" w:hAnsi="Times New Roman" w:cs="Times New Roman"/>
          <w:sz w:val="24"/>
          <w:szCs w:val="24"/>
        </w:rPr>
        <w:t>(NR)”</w:t>
      </w:r>
    </w:p>
    <w:p w:rsidR="006358B4" w:rsidRPr="004D0A82" w:rsidRDefault="00E12C5D" w:rsidP="006A4446">
      <w:pPr>
        <w:tabs>
          <w:tab w:val="left" w:pos="426"/>
        </w:tabs>
        <w:ind w:firstLine="851"/>
        <w:jc w:val="both"/>
        <w:rPr>
          <w:rFonts w:ascii="Times New Roman" w:hAnsi="Times New Roman" w:cs="Times New Roman"/>
          <w:sz w:val="24"/>
          <w:szCs w:val="24"/>
        </w:rPr>
      </w:pPr>
      <w:r w:rsidRPr="004D0A82">
        <w:rPr>
          <w:rFonts w:ascii="Times New Roman" w:hAnsi="Times New Roman" w:cs="Times New Roman"/>
          <w:sz w:val="24"/>
          <w:szCs w:val="24"/>
        </w:rPr>
        <w:t xml:space="preserve">Art. 2º Altera a Tabela </w:t>
      </w:r>
      <w:r w:rsidR="002D1A99" w:rsidRPr="004D0A82">
        <w:rPr>
          <w:rFonts w:ascii="Times New Roman" w:hAnsi="Times New Roman" w:cs="Times New Roman"/>
          <w:sz w:val="24"/>
          <w:szCs w:val="24"/>
        </w:rPr>
        <w:t>IV</w:t>
      </w:r>
      <w:r w:rsidRPr="004D0A82">
        <w:rPr>
          <w:rFonts w:ascii="Times New Roman" w:hAnsi="Times New Roman" w:cs="Times New Roman"/>
          <w:sz w:val="24"/>
          <w:szCs w:val="24"/>
        </w:rPr>
        <w:t xml:space="preserve"> - </w:t>
      </w:r>
      <w:r w:rsidR="00403FB5" w:rsidRPr="004D0A82">
        <w:rPr>
          <w:rFonts w:ascii="Times New Roman" w:hAnsi="Times New Roman" w:cs="Times New Roman"/>
          <w:sz w:val="24"/>
          <w:szCs w:val="24"/>
        </w:rPr>
        <w:t>Taxa de Licença para Execução de Obras ou Serviços de Engenharia</w:t>
      </w:r>
      <w:r w:rsidRPr="004D0A82">
        <w:rPr>
          <w:rFonts w:ascii="Times New Roman" w:hAnsi="Times New Roman" w:cs="Times New Roman"/>
          <w:sz w:val="24"/>
          <w:szCs w:val="24"/>
        </w:rPr>
        <w:t xml:space="preserve">, </w:t>
      </w:r>
      <w:r w:rsidR="00A75EB1" w:rsidRPr="004D0A82">
        <w:rPr>
          <w:rFonts w:ascii="Times New Roman" w:hAnsi="Times New Roman" w:cs="Times New Roman"/>
          <w:sz w:val="24"/>
          <w:szCs w:val="24"/>
        </w:rPr>
        <w:t xml:space="preserve">da Lei Complementar nº 004/2018, </w:t>
      </w:r>
      <w:r w:rsidRPr="004D0A82">
        <w:rPr>
          <w:rFonts w:ascii="Times New Roman" w:hAnsi="Times New Roman" w:cs="Times New Roman"/>
          <w:sz w:val="24"/>
          <w:szCs w:val="24"/>
        </w:rPr>
        <w:t>que passa a ter a seguinte redação</w:t>
      </w:r>
      <w:r w:rsidR="00D55475" w:rsidRPr="004D0A82">
        <w:rPr>
          <w:rFonts w:ascii="Times New Roman" w:hAnsi="Times New Roman" w:cs="Times New Roman"/>
          <w:sz w:val="24"/>
          <w:szCs w:val="24"/>
        </w:rPr>
        <w:t>:</w:t>
      </w:r>
    </w:p>
    <w:p w:rsidR="00D55475" w:rsidRPr="00D55475" w:rsidRDefault="00D55475" w:rsidP="00D55475">
      <w:pPr>
        <w:tabs>
          <w:tab w:val="left" w:pos="426"/>
        </w:tabs>
        <w:jc w:val="both"/>
        <w:rPr>
          <w:rFonts w:cstheme="minorHAnsi"/>
          <w:sz w:val="24"/>
          <w:szCs w:val="24"/>
        </w:rPr>
      </w:pPr>
      <w:r>
        <w:rPr>
          <w:rFonts w:cstheme="minorHAnsi"/>
          <w:sz w:val="24"/>
          <w:szCs w:val="24"/>
        </w:rPr>
        <w:t>“</w:t>
      </w:r>
    </w:p>
    <w:tbl>
      <w:tblPr>
        <w:tblStyle w:val="TableNormal"/>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5670"/>
        <w:gridCol w:w="2551"/>
      </w:tblGrid>
      <w:tr w:rsidR="006358B4" w:rsidRPr="009912F5" w:rsidTr="004D0A82">
        <w:trPr>
          <w:trHeight w:val="424"/>
        </w:trPr>
        <w:tc>
          <w:tcPr>
            <w:tcW w:w="9498" w:type="dxa"/>
            <w:gridSpan w:val="3"/>
            <w:tcBorders>
              <w:right w:val="single" w:sz="4" w:space="0" w:color="000009"/>
            </w:tcBorders>
            <w:shd w:val="clear" w:color="auto" w:fill="B8CCE4" w:themeFill="accent1" w:themeFillTint="66"/>
          </w:tcPr>
          <w:p w:rsidR="006358B4" w:rsidRPr="009912F5" w:rsidRDefault="006358B4" w:rsidP="004D0A82">
            <w:pPr>
              <w:pStyle w:val="TableParagraph"/>
              <w:spacing w:before="16" w:line="190" w:lineRule="atLeast"/>
              <w:ind w:left="1" w:right="135"/>
              <w:jc w:val="center"/>
              <w:rPr>
                <w:b/>
                <w:sz w:val="24"/>
                <w:szCs w:val="24"/>
                <w:lang w:val="pt-BR"/>
              </w:rPr>
            </w:pPr>
            <w:r w:rsidRPr="009912F5">
              <w:rPr>
                <w:b/>
                <w:sz w:val="24"/>
                <w:szCs w:val="24"/>
                <w:lang w:val="pt-BR"/>
              </w:rPr>
              <w:t>TAXA DE LICENÇA PARA EXECUÇÃO DE OBRAS OU SERVIÇOS DE ENGENHARIA</w:t>
            </w:r>
          </w:p>
        </w:tc>
      </w:tr>
      <w:tr w:rsidR="006358B4" w:rsidRPr="009912F5" w:rsidTr="004D0A82">
        <w:trPr>
          <w:trHeight w:val="383"/>
        </w:trPr>
        <w:tc>
          <w:tcPr>
            <w:tcW w:w="1277" w:type="dxa"/>
            <w:shd w:val="clear" w:color="auto" w:fill="B8CCE4" w:themeFill="accent1" w:themeFillTint="66"/>
          </w:tcPr>
          <w:p w:rsidR="006358B4" w:rsidRPr="009912F5" w:rsidRDefault="006358B4" w:rsidP="004D0A82">
            <w:pPr>
              <w:pStyle w:val="TableParagraph"/>
              <w:spacing w:before="98"/>
              <w:ind w:right="131"/>
              <w:jc w:val="center"/>
              <w:rPr>
                <w:b/>
                <w:sz w:val="24"/>
                <w:szCs w:val="24"/>
                <w:lang w:val="pt-BR"/>
              </w:rPr>
            </w:pPr>
            <w:r w:rsidRPr="009912F5">
              <w:rPr>
                <w:b/>
                <w:sz w:val="24"/>
                <w:szCs w:val="24"/>
                <w:lang w:val="pt-BR"/>
              </w:rPr>
              <w:t>Nº</w:t>
            </w:r>
          </w:p>
        </w:tc>
        <w:tc>
          <w:tcPr>
            <w:tcW w:w="5670" w:type="dxa"/>
            <w:shd w:val="clear" w:color="auto" w:fill="B8CCE4" w:themeFill="accent1" w:themeFillTint="66"/>
          </w:tcPr>
          <w:p w:rsidR="006358B4" w:rsidRPr="009912F5" w:rsidRDefault="006358B4" w:rsidP="004D0A82">
            <w:pPr>
              <w:pStyle w:val="TableParagraph"/>
              <w:spacing w:before="98"/>
              <w:ind w:left="16" w:right="131"/>
              <w:jc w:val="center"/>
              <w:rPr>
                <w:b/>
                <w:sz w:val="24"/>
                <w:szCs w:val="24"/>
                <w:lang w:val="pt-BR"/>
              </w:rPr>
            </w:pPr>
            <w:r w:rsidRPr="009912F5">
              <w:rPr>
                <w:b/>
                <w:sz w:val="24"/>
                <w:szCs w:val="24"/>
                <w:lang w:val="pt-BR"/>
              </w:rPr>
              <w:t>Descrição</w:t>
            </w:r>
          </w:p>
        </w:tc>
        <w:tc>
          <w:tcPr>
            <w:tcW w:w="2551" w:type="dxa"/>
            <w:tcBorders>
              <w:bottom w:val="single" w:sz="4" w:space="0" w:color="000009"/>
              <w:right w:val="single" w:sz="4" w:space="0" w:color="000009"/>
            </w:tcBorders>
            <w:shd w:val="clear" w:color="auto" w:fill="B8CCE4" w:themeFill="accent1" w:themeFillTint="66"/>
          </w:tcPr>
          <w:p w:rsidR="006358B4" w:rsidRPr="009912F5" w:rsidRDefault="006358B4" w:rsidP="004D0A82">
            <w:pPr>
              <w:pStyle w:val="TableParagraph"/>
              <w:spacing w:before="16"/>
              <w:ind w:right="131"/>
              <w:jc w:val="center"/>
              <w:rPr>
                <w:b/>
                <w:sz w:val="24"/>
                <w:szCs w:val="24"/>
                <w:lang w:val="pt-BR"/>
              </w:rPr>
            </w:pPr>
            <w:r w:rsidRPr="009912F5">
              <w:rPr>
                <w:b/>
                <w:sz w:val="24"/>
                <w:szCs w:val="24"/>
                <w:lang w:val="pt-BR"/>
              </w:rPr>
              <w:t>URM</w:t>
            </w:r>
          </w:p>
        </w:tc>
      </w:tr>
      <w:tr w:rsidR="006358B4" w:rsidRPr="009912F5" w:rsidTr="004D0A82">
        <w:trPr>
          <w:trHeight w:val="385"/>
        </w:trPr>
        <w:tc>
          <w:tcPr>
            <w:tcW w:w="1277" w:type="dxa"/>
          </w:tcPr>
          <w:p w:rsidR="006358B4" w:rsidRPr="009912F5" w:rsidRDefault="006358B4" w:rsidP="004D0A82">
            <w:pPr>
              <w:pStyle w:val="TableParagraph"/>
              <w:spacing w:before="98"/>
              <w:ind w:right="131"/>
              <w:jc w:val="center"/>
              <w:rPr>
                <w:sz w:val="24"/>
                <w:szCs w:val="24"/>
                <w:lang w:val="pt-BR"/>
              </w:rPr>
            </w:pPr>
            <w:r w:rsidRPr="009912F5">
              <w:rPr>
                <w:sz w:val="24"/>
                <w:szCs w:val="24"/>
                <w:lang w:val="pt-BR"/>
              </w:rPr>
              <w:t>1</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lang w:val="pt-BR"/>
              </w:rPr>
            </w:pPr>
            <w:r w:rsidRPr="009912F5">
              <w:rPr>
                <w:sz w:val="24"/>
                <w:szCs w:val="24"/>
                <w:lang w:val="pt-BR"/>
              </w:rPr>
              <w:t>Fixação de Alinhamento até 20m</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6"/>
              <w:ind w:right="131"/>
              <w:jc w:val="center"/>
              <w:rPr>
                <w:sz w:val="24"/>
                <w:szCs w:val="24"/>
                <w:lang w:val="pt-BR"/>
              </w:rPr>
            </w:pPr>
            <w:r w:rsidRPr="009912F5">
              <w:rPr>
                <w:sz w:val="24"/>
                <w:szCs w:val="24"/>
                <w:lang w:val="pt-BR"/>
              </w:rPr>
              <w:t>1,00</w:t>
            </w:r>
          </w:p>
        </w:tc>
      </w:tr>
      <w:tr w:rsidR="006358B4" w:rsidRPr="009912F5" w:rsidTr="004D0A82">
        <w:trPr>
          <w:trHeight w:val="383"/>
        </w:trPr>
        <w:tc>
          <w:tcPr>
            <w:tcW w:w="1277" w:type="dxa"/>
          </w:tcPr>
          <w:p w:rsidR="006358B4" w:rsidRPr="009912F5" w:rsidRDefault="006358B4" w:rsidP="004D0A82">
            <w:pPr>
              <w:pStyle w:val="TableParagraph"/>
              <w:spacing w:before="98"/>
              <w:ind w:right="131"/>
              <w:jc w:val="center"/>
              <w:rPr>
                <w:sz w:val="24"/>
                <w:szCs w:val="24"/>
              </w:rPr>
            </w:pPr>
            <w:r w:rsidRPr="009912F5">
              <w:rPr>
                <w:sz w:val="24"/>
                <w:szCs w:val="24"/>
              </w:rPr>
              <w:t>2</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lang w:val="pt-BR"/>
              </w:rPr>
            </w:pPr>
            <w:r w:rsidRPr="009912F5">
              <w:rPr>
                <w:sz w:val="24"/>
                <w:szCs w:val="24"/>
                <w:lang w:val="pt-BR"/>
              </w:rPr>
              <w:t xml:space="preserve">Fixação de alinhamento mais de 20m por metro ou </w:t>
            </w:r>
            <w:r w:rsidRPr="009912F5">
              <w:rPr>
                <w:sz w:val="24"/>
                <w:szCs w:val="24"/>
                <w:lang w:val="pt-BR"/>
              </w:rPr>
              <w:lastRenderedPageBreak/>
              <w:t>fração excedente</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lastRenderedPageBreak/>
              <w:t>0,04</w:t>
            </w:r>
          </w:p>
        </w:tc>
      </w:tr>
      <w:tr w:rsidR="006358B4" w:rsidRPr="009912F5" w:rsidTr="004D0A82">
        <w:trPr>
          <w:trHeight w:val="385"/>
        </w:trPr>
        <w:tc>
          <w:tcPr>
            <w:tcW w:w="1277" w:type="dxa"/>
          </w:tcPr>
          <w:p w:rsidR="006358B4" w:rsidRPr="004D0A82" w:rsidRDefault="006358B4" w:rsidP="004D0A82">
            <w:pPr>
              <w:pStyle w:val="TableParagraph"/>
              <w:spacing w:before="98"/>
              <w:ind w:right="131"/>
              <w:jc w:val="center"/>
              <w:rPr>
                <w:sz w:val="24"/>
                <w:szCs w:val="24"/>
              </w:rPr>
            </w:pPr>
            <w:r w:rsidRPr="004D0A82">
              <w:rPr>
                <w:sz w:val="24"/>
                <w:szCs w:val="24"/>
              </w:rPr>
              <w:t>3</w:t>
            </w:r>
          </w:p>
        </w:tc>
        <w:tc>
          <w:tcPr>
            <w:tcW w:w="5670" w:type="dxa"/>
            <w:shd w:val="clear" w:color="auto" w:fill="FFFFFF" w:themeFill="background1"/>
          </w:tcPr>
          <w:p w:rsidR="006358B4" w:rsidRPr="004D0A82" w:rsidRDefault="00D55475" w:rsidP="004D0A82">
            <w:pPr>
              <w:pStyle w:val="TableParagraph"/>
              <w:spacing w:before="98"/>
              <w:ind w:left="283" w:right="424"/>
              <w:jc w:val="both"/>
              <w:rPr>
                <w:sz w:val="24"/>
                <w:szCs w:val="24"/>
              </w:rPr>
            </w:pPr>
            <w:r w:rsidRPr="004D0A82">
              <w:rPr>
                <w:sz w:val="24"/>
                <w:szCs w:val="24"/>
              </w:rPr>
              <w:t>Carta de Habite-se</w:t>
            </w:r>
            <w:r w:rsidR="006358B4" w:rsidRPr="004D0A82">
              <w:rPr>
                <w:sz w:val="24"/>
                <w:szCs w:val="24"/>
              </w:rPr>
              <w:t xml:space="preserve"> </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spacing w:before="16"/>
              <w:ind w:right="131"/>
              <w:jc w:val="center"/>
              <w:rPr>
                <w:sz w:val="24"/>
                <w:szCs w:val="24"/>
                <w:lang w:val="pt-BR"/>
              </w:rPr>
            </w:pPr>
            <w:r w:rsidRPr="004D0A82">
              <w:rPr>
                <w:sz w:val="24"/>
                <w:szCs w:val="24"/>
                <w:lang w:val="pt-BR"/>
              </w:rPr>
              <w:t>0,20 até 70 m² e 0,</w:t>
            </w:r>
            <w:r w:rsidR="00D55475" w:rsidRPr="004D0A82">
              <w:rPr>
                <w:sz w:val="24"/>
                <w:szCs w:val="24"/>
                <w:lang w:val="pt-BR"/>
              </w:rPr>
              <w:t>0</w:t>
            </w:r>
            <w:r w:rsidRPr="004D0A82">
              <w:rPr>
                <w:sz w:val="24"/>
                <w:szCs w:val="24"/>
                <w:lang w:val="pt-BR"/>
              </w:rPr>
              <w:t>017 por m² excedente</w:t>
            </w:r>
          </w:p>
        </w:tc>
      </w:tr>
      <w:tr w:rsidR="006358B4" w:rsidRPr="009912F5" w:rsidTr="004D0A82">
        <w:trPr>
          <w:trHeight w:val="383"/>
        </w:trPr>
        <w:tc>
          <w:tcPr>
            <w:tcW w:w="1277" w:type="dxa"/>
          </w:tcPr>
          <w:p w:rsidR="006358B4" w:rsidRPr="009912F5" w:rsidRDefault="006358B4" w:rsidP="004D0A82">
            <w:pPr>
              <w:pStyle w:val="TableParagraph"/>
              <w:spacing w:before="98"/>
              <w:ind w:right="131"/>
              <w:jc w:val="center"/>
              <w:rPr>
                <w:sz w:val="24"/>
                <w:szCs w:val="24"/>
              </w:rPr>
            </w:pPr>
            <w:r w:rsidRPr="009912F5">
              <w:rPr>
                <w:sz w:val="24"/>
                <w:szCs w:val="24"/>
              </w:rPr>
              <w:t>4</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rPr>
            </w:pPr>
            <w:r w:rsidRPr="009912F5">
              <w:rPr>
                <w:sz w:val="24"/>
                <w:szCs w:val="24"/>
              </w:rPr>
              <w:t xml:space="preserve">Demolição </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rPr>
            </w:pPr>
            <w:r w:rsidRPr="009912F5">
              <w:rPr>
                <w:sz w:val="24"/>
                <w:szCs w:val="24"/>
              </w:rPr>
              <w:t>0,20</w:t>
            </w:r>
          </w:p>
        </w:tc>
      </w:tr>
      <w:tr w:rsidR="006358B4" w:rsidRPr="009912F5" w:rsidTr="004D0A82">
        <w:trPr>
          <w:trHeight w:val="395"/>
        </w:trPr>
        <w:tc>
          <w:tcPr>
            <w:tcW w:w="1277" w:type="dxa"/>
          </w:tcPr>
          <w:p w:rsidR="006358B4" w:rsidRPr="009912F5" w:rsidRDefault="006358B4" w:rsidP="004D0A82">
            <w:pPr>
              <w:pStyle w:val="TableParagraph"/>
              <w:spacing w:before="115"/>
              <w:ind w:right="131"/>
              <w:jc w:val="center"/>
              <w:rPr>
                <w:sz w:val="24"/>
                <w:szCs w:val="24"/>
              </w:rPr>
            </w:pPr>
            <w:r w:rsidRPr="009912F5">
              <w:rPr>
                <w:sz w:val="24"/>
                <w:szCs w:val="24"/>
              </w:rPr>
              <w:t>5</w:t>
            </w:r>
          </w:p>
        </w:tc>
        <w:tc>
          <w:tcPr>
            <w:tcW w:w="5670" w:type="dxa"/>
            <w:tcBorders>
              <w:bottom w:val="double" w:sz="2" w:space="0" w:color="000000"/>
            </w:tcBorders>
            <w:shd w:val="clear" w:color="auto" w:fill="FFFFFF" w:themeFill="background1"/>
          </w:tcPr>
          <w:p w:rsidR="006358B4" w:rsidRPr="009912F5" w:rsidRDefault="006358B4" w:rsidP="004D0A82">
            <w:pPr>
              <w:pStyle w:val="TableParagraph"/>
              <w:spacing w:before="19" w:line="190" w:lineRule="atLeast"/>
              <w:ind w:left="283" w:right="424"/>
              <w:jc w:val="both"/>
              <w:rPr>
                <w:sz w:val="24"/>
                <w:szCs w:val="24"/>
                <w:lang w:val="pt-BR"/>
              </w:rPr>
            </w:pPr>
            <w:r w:rsidRPr="009912F5">
              <w:rPr>
                <w:sz w:val="24"/>
                <w:szCs w:val="24"/>
                <w:lang w:val="pt-BR"/>
              </w:rPr>
              <w:t>Parcelamento de solo, extinção de condomínio e Desmembramento até 3 lotes</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33"/>
              <w:ind w:right="131"/>
              <w:jc w:val="center"/>
              <w:rPr>
                <w:sz w:val="24"/>
                <w:szCs w:val="24"/>
                <w:lang w:val="pt-BR"/>
              </w:rPr>
            </w:pPr>
            <w:r w:rsidRPr="009912F5">
              <w:rPr>
                <w:sz w:val="24"/>
                <w:szCs w:val="24"/>
                <w:lang w:val="pt-BR"/>
              </w:rPr>
              <w:t>0,20</w:t>
            </w:r>
          </w:p>
        </w:tc>
      </w:tr>
      <w:tr w:rsidR="006358B4" w:rsidRPr="009912F5" w:rsidTr="004D0A82">
        <w:trPr>
          <w:trHeight w:val="383"/>
        </w:trPr>
        <w:tc>
          <w:tcPr>
            <w:tcW w:w="1277" w:type="dxa"/>
          </w:tcPr>
          <w:p w:rsidR="006358B4" w:rsidRPr="009912F5" w:rsidRDefault="006358B4" w:rsidP="004D0A82">
            <w:pPr>
              <w:pStyle w:val="TableParagraph"/>
              <w:spacing w:before="95"/>
              <w:ind w:right="131"/>
              <w:jc w:val="center"/>
              <w:rPr>
                <w:sz w:val="24"/>
                <w:szCs w:val="24"/>
              </w:rPr>
            </w:pPr>
            <w:r w:rsidRPr="009912F5">
              <w:rPr>
                <w:sz w:val="24"/>
                <w:szCs w:val="24"/>
              </w:rPr>
              <w:t>6</w:t>
            </w:r>
          </w:p>
        </w:tc>
        <w:tc>
          <w:tcPr>
            <w:tcW w:w="5670" w:type="dxa"/>
            <w:shd w:val="clear" w:color="auto" w:fill="FFFFFF" w:themeFill="background1"/>
          </w:tcPr>
          <w:p w:rsidR="006358B4" w:rsidRPr="009912F5" w:rsidRDefault="006358B4" w:rsidP="004D0A82">
            <w:pPr>
              <w:pStyle w:val="TableParagraph"/>
              <w:spacing w:before="95"/>
              <w:ind w:left="283" w:right="424"/>
              <w:jc w:val="both"/>
              <w:rPr>
                <w:sz w:val="24"/>
                <w:szCs w:val="24"/>
                <w:lang w:val="pt-BR"/>
              </w:rPr>
            </w:pPr>
            <w:r w:rsidRPr="009912F5">
              <w:rPr>
                <w:sz w:val="24"/>
                <w:szCs w:val="24"/>
                <w:lang w:val="pt-BR"/>
              </w:rPr>
              <w:t>Parcelamento de solo, extinção de condomínio e Desmembramento acima de 3 lotes/ por lote excedente</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t>0.05</w:t>
            </w:r>
          </w:p>
        </w:tc>
      </w:tr>
      <w:tr w:rsidR="006358B4" w:rsidRPr="009912F5" w:rsidTr="004D0A82">
        <w:trPr>
          <w:trHeight w:val="386"/>
        </w:trPr>
        <w:tc>
          <w:tcPr>
            <w:tcW w:w="1277" w:type="dxa"/>
          </w:tcPr>
          <w:p w:rsidR="006358B4" w:rsidRPr="004D0A82" w:rsidRDefault="006358B4" w:rsidP="004D0A82">
            <w:pPr>
              <w:pStyle w:val="TableParagraph"/>
              <w:spacing w:before="98"/>
              <w:ind w:right="131"/>
              <w:jc w:val="center"/>
              <w:rPr>
                <w:sz w:val="24"/>
                <w:szCs w:val="24"/>
              </w:rPr>
            </w:pPr>
            <w:r w:rsidRPr="004D0A82">
              <w:rPr>
                <w:sz w:val="24"/>
                <w:szCs w:val="24"/>
              </w:rPr>
              <w:t>7</w:t>
            </w:r>
          </w:p>
        </w:tc>
        <w:tc>
          <w:tcPr>
            <w:tcW w:w="5670" w:type="dxa"/>
            <w:shd w:val="clear" w:color="auto" w:fill="FFFFFF" w:themeFill="background1"/>
          </w:tcPr>
          <w:p w:rsidR="006358B4" w:rsidRPr="004D0A82" w:rsidRDefault="00D55475" w:rsidP="004D0A82">
            <w:pPr>
              <w:pStyle w:val="TableParagraph"/>
              <w:spacing w:before="98"/>
              <w:ind w:left="283" w:right="424"/>
              <w:jc w:val="both"/>
              <w:rPr>
                <w:sz w:val="24"/>
                <w:szCs w:val="24"/>
              </w:rPr>
            </w:pPr>
            <w:r w:rsidRPr="004D0A82">
              <w:rPr>
                <w:sz w:val="24"/>
                <w:szCs w:val="24"/>
              </w:rPr>
              <w:t>Certidão Predial/averbação</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spacing w:before="16"/>
              <w:ind w:right="131"/>
              <w:jc w:val="center"/>
              <w:rPr>
                <w:sz w:val="24"/>
                <w:szCs w:val="24"/>
              </w:rPr>
            </w:pPr>
            <w:r w:rsidRPr="004D0A82">
              <w:rPr>
                <w:sz w:val="24"/>
                <w:szCs w:val="24"/>
              </w:rPr>
              <w:t>0,20</w:t>
            </w:r>
          </w:p>
        </w:tc>
      </w:tr>
      <w:tr w:rsidR="006358B4" w:rsidRPr="009912F5" w:rsidTr="004D0A82">
        <w:trPr>
          <w:trHeight w:val="385"/>
        </w:trPr>
        <w:tc>
          <w:tcPr>
            <w:tcW w:w="1277" w:type="dxa"/>
          </w:tcPr>
          <w:p w:rsidR="006358B4" w:rsidRPr="009912F5" w:rsidRDefault="006358B4" w:rsidP="004D0A82">
            <w:pPr>
              <w:pStyle w:val="TableParagraph"/>
              <w:spacing w:before="98"/>
              <w:ind w:right="131"/>
              <w:jc w:val="center"/>
              <w:rPr>
                <w:sz w:val="24"/>
                <w:szCs w:val="24"/>
              </w:rPr>
            </w:pPr>
            <w:r w:rsidRPr="009912F5">
              <w:rPr>
                <w:sz w:val="24"/>
                <w:szCs w:val="24"/>
              </w:rPr>
              <w:t>8</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lang w:val="pt-BR"/>
              </w:rPr>
            </w:pPr>
            <w:r w:rsidRPr="009912F5">
              <w:rPr>
                <w:sz w:val="24"/>
                <w:szCs w:val="24"/>
                <w:lang w:val="pt-BR"/>
              </w:rPr>
              <w:t>Taxa de vistoria de construção, reconstrução, reforma, aumento, demolição, fossa e filtro ou sumidouro</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6"/>
              <w:ind w:right="131"/>
              <w:jc w:val="center"/>
              <w:rPr>
                <w:sz w:val="24"/>
                <w:szCs w:val="24"/>
                <w:lang w:val="pt-BR"/>
              </w:rPr>
            </w:pPr>
            <w:r w:rsidRPr="009912F5">
              <w:rPr>
                <w:sz w:val="24"/>
                <w:szCs w:val="24"/>
                <w:lang w:val="pt-BR"/>
              </w:rPr>
              <w:t>0,20</w:t>
            </w:r>
          </w:p>
        </w:tc>
      </w:tr>
      <w:tr w:rsidR="006358B4" w:rsidRPr="009912F5" w:rsidTr="004D0A82">
        <w:trPr>
          <w:trHeight w:val="383"/>
        </w:trPr>
        <w:tc>
          <w:tcPr>
            <w:tcW w:w="1277" w:type="dxa"/>
          </w:tcPr>
          <w:p w:rsidR="006358B4" w:rsidRPr="009912F5" w:rsidRDefault="006358B4" w:rsidP="004D0A82">
            <w:pPr>
              <w:pStyle w:val="TableParagraph"/>
              <w:spacing w:before="98"/>
              <w:ind w:right="131"/>
              <w:jc w:val="center"/>
              <w:rPr>
                <w:sz w:val="24"/>
                <w:szCs w:val="24"/>
              </w:rPr>
            </w:pPr>
            <w:r w:rsidRPr="009912F5">
              <w:rPr>
                <w:sz w:val="24"/>
                <w:szCs w:val="24"/>
              </w:rPr>
              <w:t>9</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lang w:val="pt-BR"/>
              </w:rPr>
            </w:pPr>
            <w:r w:rsidRPr="009912F5">
              <w:rPr>
                <w:color w:val="000000"/>
                <w:sz w:val="24"/>
                <w:szCs w:val="24"/>
                <w:lang w:val="pt-BR"/>
              </w:rPr>
              <w:t>Pela análise de pré projeto</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t>0,20</w:t>
            </w:r>
          </w:p>
        </w:tc>
      </w:tr>
      <w:tr w:rsidR="006358B4" w:rsidRPr="009912F5" w:rsidTr="004D0A82">
        <w:trPr>
          <w:trHeight w:val="385"/>
        </w:trPr>
        <w:tc>
          <w:tcPr>
            <w:tcW w:w="1277" w:type="dxa"/>
          </w:tcPr>
          <w:p w:rsidR="006358B4" w:rsidRPr="009912F5" w:rsidRDefault="006358B4" w:rsidP="004D0A82">
            <w:pPr>
              <w:pStyle w:val="TableParagraph"/>
              <w:spacing w:before="98"/>
              <w:ind w:right="131"/>
              <w:jc w:val="center"/>
              <w:rPr>
                <w:sz w:val="24"/>
                <w:szCs w:val="24"/>
              </w:rPr>
            </w:pPr>
            <w:r w:rsidRPr="009912F5">
              <w:rPr>
                <w:sz w:val="24"/>
                <w:szCs w:val="24"/>
              </w:rPr>
              <w:t>10</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lang w:val="pt-BR"/>
              </w:rPr>
            </w:pPr>
            <w:r w:rsidRPr="009912F5">
              <w:rPr>
                <w:sz w:val="24"/>
                <w:szCs w:val="24"/>
                <w:lang w:val="pt-BR"/>
              </w:rPr>
              <w:t>Licença de Construção – Galpão – por m²</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6"/>
              <w:ind w:right="131"/>
              <w:jc w:val="center"/>
              <w:rPr>
                <w:sz w:val="24"/>
                <w:szCs w:val="24"/>
                <w:lang w:val="pt-BR"/>
              </w:rPr>
            </w:pPr>
            <w:r w:rsidRPr="009912F5">
              <w:rPr>
                <w:sz w:val="24"/>
                <w:szCs w:val="24"/>
                <w:lang w:val="pt-BR"/>
              </w:rPr>
              <w:t>0,13 até 70 m² e 0,017 por m² excedente</w:t>
            </w:r>
          </w:p>
        </w:tc>
      </w:tr>
      <w:tr w:rsidR="006358B4" w:rsidRPr="009912F5" w:rsidTr="004D0A82">
        <w:trPr>
          <w:trHeight w:val="869"/>
        </w:trPr>
        <w:tc>
          <w:tcPr>
            <w:tcW w:w="1277" w:type="dxa"/>
          </w:tcPr>
          <w:p w:rsidR="006358B4" w:rsidRPr="009912F5" w:rsidRDefault="006358B4" w:rsidP="004D0A82">
            <w:pPr>
              <w:pStyle w:val="TableParagraph"/>
              <w:spacing w:before="115"/>
              <w:ind w:right="131"/>
              <w:jc w:val="center"/>
              <w:rPr>
                <w:sz w:val="24"/>
                <w:szCs w:val="24"/>
                <w:lang w:val="pt-BR"/>
              </w:rPr>
            </w:pPr>
            <w:r w:rsidRPr="009912F5">
              <w:rPr>
                <w:sz w:val="24"/>
                <w:szCs w:val="24"/>
                <w:lang w:val="pt-BR"/>
              </w:rPr>
              <w:t>11</w:t>
            </w:r>
          </w:p>
        </w:tc>
        <w:tc>
          <w:tcPr>
            <w:tcW w:w="5670" w:type="dxa"/>
            <w:shd w:val="clear" w:color="auto" w:fill="FFFFFF" w:themeFill="background1"/>
          </w:tcPr>
          <w:p w:rsidR="006358B4" w:rsidRPr="009912F5" w:rsidRDefault="006358B4" w:rsidP="004D0A82">
            <w:pPr>
              <w:pStyle w:val="TableParagraph"/>
              <w:spacing w:before="19" w:line="190" w:lineRule="atLeast"/>
              <w:ind w:left="283" w:right="424"/>
              <w:jc w:val="both"/>
              <w:rPr>
                <w:sz w:val="24"/>
                <w:szCs w:val="24"/>
                <w:lang w:val="pt-BR"/>
              </w:rPr>
            </w:pPr>
            <w:r w:rsidRPr="009912F5">
              <w:rPr>
                <w:sz w:val="24"/>
                <w:szCs w:val="24"/>
                <w:lang w:val="pt-BR"/>
              </w:rPr>
              <w:t>Licença de Construção Marquises e Alterações de Fachada por metro</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33"/>
              <w:ind w:right="131"/>
              <w:jc w:val="center"/>
              <w:rPr>
                <w:sz w:val="24"/>
                <w:szCs w:val="24"/>
                <w:lang w:val="pt-BR"/>
              </w:rPr>
            </w:pPr>
            <w:r w:rsidRPr="009912F5">
              <w:rPr>
                <w:sz w:val="24"/>
                <w:szCs w:val="24"/>
                <w:lang w:val="pt-BR"/>
              </w:rPr>
              <w:t>0,17 até 70 m² e 0,017 por m² excedente</w:t>
            </w:r>
          </w:p>
        </w:tc>
      </w:tr>
      <w:tr w:rsidR="006358B4" w:rsidRPr="009912F5" w:rsidTr="004D0A82">
        <w:trPr>
          <w:trHeight w:val="383"/>
        </w:trPr>
        <w:tc>
          <w:tcPr>
            <w:tcW w:w="1277" w:type="dxa"/>
          </w:tcPr>
          <w:p w:rsidR="006358B4" w:rsidRPr="004D0A82" w:rsidRDefault="006358B4" w:rsidP="004D0A82">
            <w:pPr>
              <w:pStyle w:val="TableParagraph"/>
              <w:spacing w:before="98"/>
              <w:ind w:right="131"/>
              <w:jc w:val="center"/>
              <w:rPr>
                <w:sz w:val="24"/>
                <w:szCs w:val="24"/>
                <w:lang w:val="pt-BR"/>
              </w:rPr>
            </w:pPr>
            <w:r w:rsidRPr="004D0A82">
              <w:rPr>
                <w:sz w:val="24"/>
                <w:szCs w:val="24"/>
                <w:lang w:val="pt-BR"/>
              </w:rPr>
              <w:t>12</w:t>
            </w:r>
          </w:p>
        </w:tc>
        <w:tc>
          <w:tcPr>
            <w:tcW w:w="5670" w:type="dxa"/>
            <w:shd w:val="clear" w:color="auto" w:fill="FFFFFF" w:themeFill="background1"/>
          </w:tcPr>
          <w:p w:rsidR="006358B4" w:rsidRPr="004D0A82" w:rsidRDefault="006358B4" w:rsidP="004D0A82">
            <w:pPr>
              <w:pStyle w:val="TableParagraph"/>
              <w:spacing w:before="98"/>
              <w:ind w:left="283" w:right="424"/>
              <w:jc w:val="both"/>
              <w:rPr>
                <w:sz w:val="24"/>
                <w:szCs w:val="24"/>
                <w:lang w:val="pt-BR"/>
              </w:rPr>
            </w:pPr>
            <w:r w:rsidRPr="004D0A82">
              <w:rPr>
                <w:sz w:val="24"/>
                <w:szCs w:val="24"/>
                <w:lang w:val="pt-BR"/>
              </w:rPr>
              <w:t xml:space="preserve">Licença de Construção e reforma Residencial – Unifamiliar </w:t>
            </w:r>
            <w:r w:rsidR="00D55475" w:rsidRPr="004D0A82">
              <w:rPr>
                <w:sz w:val="24"/>
                <w:szCs w:val="24"/>
                <w:lang w:val="pt-BR"/>
              </w:rPr>
              <w:t xml:space="preserve">e Multifamiliar </w:t>
            </w:r>
            <w:r w:rsidRPr="004D0A82">
              <w:rPr>
                <w:sz w:val="24"/>
                <w:szCs w:val="24"/>
                <w:lang w:val="pt-BR"/>
              </w:rPr>
              <w:t>de alvenaria por m²</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ind w:right="131"/>
              <w:jc w:val="center"/>
              <w:rPr>
                <w:sz w:val="24"/>
                <w:szCs w:val="24"/>
                <w:lang w:val="pt-BR"/>
              </w:rPr>
            </w:pPr>
            <w:r w:rsidRPr="004D0A82">
              <w:rPr>
                <w:sz w:val="24"/>
                <w:szCs w:val="24"/>
                <w:lang w:val="pt-BR"/>
              </w:rPr>
              <w:t>0,17 até 70 m² e 0,017 por m² excedente</w:t>
            </w:r>
          </w:p>
        </w:tc>
      </w:tr>
      <w:tr w:rsidR="006358B4" w:rsidRPr="009912F5" w:rsidTr="004D0A82">
        <w:trPr>
          <w:trHeight w:val="383"/>
        </w:trPr>
        <w:tc>
          <w:tcPr>
            <w:tcW w:w="1277" w:type="dxa"/>
          </w:tcPr>
          <w:p w:rsidR="006358B4" w:rsidRPr="004D0A82" w:rsidRDefault="006358B4" w:rsidP="004D0A82">
            <w:pPr>
              <w:pStyle w:val="TableParagraph"/>
              <w:spacing w:before="98"/>
              <w:ind w:right="131"/>
              <w:jc w:val="center"/>
              <w:rPr>
                <w:sz w:val="24"/>
                <w:szCs w:val="24"/>
                <w:lang w:val="pt-BR"/>
              </w:rPr>
            </w:pPr>
            <w:r w:rsidRPr="004D0A82">
              <w:rPr>
                <w:sz w:val="24"/>
                <w:szCs w:val="24"/>
                <w:lang w:val="pt-BR"/>
              </w:rPr>
              <w:t>13</w:t>
            </w:r>
          </w:p>
        </w:tc>
        <w:tc>
          <w:tcPr>
            <w:tcW w:w="5670" w:type="dxa"/>
            <w:shd w:val="clear" w:color="auto" w:fill="FFFFFF" w:themeFill="background1"/>
          </w:tcPr>
          <w:p w:rsidR="006358B4" w:rsidRPr="004D0A82" w:rsidRDefault="006358B4" w:rsidP="004D0A82">
            <w:pPr>
              <w:pStyle w:val="TableParagraph"/>
              <w:spacing w:before="98"/>
              <w:ind w:left="283" w:right="424"/>
              <w:jc w:val="both"/>
              <w:rPr>
                <w:sz w:val="24"/>
                <w:szCs w:val="24"/>
                <w:lang w:val="pt-BR"/>
              </w:rPr>
            </w:pPr>
            <w:r w:rsidRPr="004D0A82">
              <w:rPr>
                <w:sz w:val="24"/>
                <w:szCs w:val="24"/>
                <w:lang w:val="pt-BR"/>
              </w:rPr>
              <w:t xml:space="preserve">Licença de Construção e reforma Residencial – Unifamiliar </w:t>
            </w:r>
            <w:r w:rsidR="00D55475" w:rsidRPr="004D0A82">
              <w:rPr>
                <w:sz w:val="24"/>
                <w:szCs w:val="24"/>
                <w:lang w:val="pt-BR"/>
              </w:rPr>
              <w:t xml:space="preserve">e Multifamiliar </w:t>
            </w:r>
            <w:r w:rsidRPr="004D0A82">
              <w:rPr>
                <w:sz w:val="24"/>
                <w:szCs w:val="24"/>
                <w:lang w:val="pt-BR"/>
              </w:rPr>
              <w:t xml:space="preserve">mista por m² </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spacing w:before="14"/>
              <w:ind w:right="131"/>
              <w:jc w:val="center"/>
              <w:rPr>
                <w:sz w:val="24"/>
                <w:szCs w:val="24"/>
                <w:lang w:val="pt-BR"/>
              </w:rPr>
            </w:pPr>
            <w:r w:rsidRPr="004D0A82">
              <w:rPr>
                <w:sz w:val="24"/>
                <w:szCs w:val="24"/>
                <w:lang w:val="pt-BR"/>
              </w:rPr>
              <w:t>0,16 até 70 m² e 0,017 por m² excedente</w:t>
            </w:r>
          </w:p>
        </w:tc>
      </w:tr>
      <w:tr w:rsidR="006358B4" w:rsidRPr="009912F5" w:rsidTr="004D0A82">
        <w:trPr>
          <w:trHeight w:val="807"/>
        </w:trPr>
        <w:tc>
          <w:tcPr>
            <w:tcW w:w="1277" w:type="dxa"/>
          </w:tcPr>
          <w:p w:rsidR="006358B4" w:rsidRPr="004D0A82" w:rsidRDefault="006358B4" w:rsidP="004D0A82">
            <w:pPr>
              <w:pStyle w:val="TableParagraph"/>
              <w:spacing w:before="98"/>
              <w:ind w:right="131"/>
              <w:jc w:val="center"/>
              <w:rPr>
                <w:sz w:val="24"/>
                <w:szCs w:val="24"/>
                <w:lang w:val="pt-BR"/>
              </w:rPr>
            </w:pPr>
            <w:r w:rsidRPr="004D0A82">
              <w:rPr>
                <w:sz w:val="24"/>
                <w:szCs w:val="24"/>
                <w:lang w:val="pt-BR"/>
              </w:rPr>
              <w:t>14</w:t>
            </w:r>
          </w:p>
        </w:tc>
        <w:tc>
          <w:tcPr>
            <w:tcW w:w="5670" w:type="dxa"/>
            <w:shd w:val="clear" w:color="auto" w:fill="FFFFFF" w:themeFill="background1"/>
          </w:tcPr>
          <w:p w:rsidR="006358B4" w:rsidRPr="004D0A82" w:rsidRDefault="006358B4" w:rsidP="004D0A82">
            <w:pPr>
              <w:pStyle w:val="TableParagraph"/>
              <w:spacing w:before="98"/>
              <w:ind w:left="283" w:right="424"/>
              <w:jc w:val="both"/>
              <w:rPr>
                <w:sz w:val="24"/>
                <w:szCs w:val="24"/>
                <w:lang w:val="pt-BR"/>
              </w:rPr>
            </w:pPr>
            <w:r w:rsidRPr="004D0A82">
              <w:rPr>
                <w:sz w:val="24"/>
                <w:szCs w:val="24"/>
                <w:lang w:val="pt-BR"/>
              </w:rPr>
              <w:t xml:space="preserve">Licença de Construção e reforma Residencial – Unifamiliar </w:t>
            </w:r>
            <w:r w:rsidR="00D55475" w:rsidRPr="004D0A82">
              <w:rPr>
                <w:sz w:val="24"/>
                <w:szCs w:val="24"/>
                <w:lang w:val="pt-BR"/>
              </w:rPr>
              <w:t xml:space="preserve">e Multifamiliar </w:t>
            </w:r>
            <w:r w:rsidRPr="004D0A82">
              <w:rPr>
                <w:sz w:val="24"/>
                <w:szCs w:val="24"/>
                <w:lang w:val="pt-BR"/>
              </w:rPr>
              <w:t>de madeira por m²</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spacing w:before="14"/>
              <w:ind w:right="131"/>
              <w:jc w:val="center"/>
              <w:rPr>
                <w:sz w:val="24"/>
                <w:szCs w:val="24"/>
                <w:lang w:val="pt-BR"/>
              </w:rPr>
            </w:pPr>
            <w:r w:rsidRPr="004D0A82">
              <w:rPr>
                <w:sz w:val="24"/>
                <w:szCs w:val="24"/>
                <w:lang w:val="pt-BR"/>
              </w:rPr>
              <w:t>0,14 até 70 m² e 0,017 por m² excedente</w:t>
            </w:r>
          </w:p>
        </w:tc>
      </w:tr>
      <w:tr w:rsidR="006358B4" w:rsidRPr="009912F5" w:rsidTr="004D0A82">
        <w:trPr>
          <w:trHeight w:val="819"/>
        </w:trPr>
        <w:tc>
          <w:tcPr>
            <w:tcW w:w="1277" w:type="dxa"/>
          </w:tcPr>
          <w:p w:rsidR="006358B4" w:rsidRPr="004D0A82" w:rsidRDefault="006358B4" w:rsidP="004D0A82">
            <w:pPr>
              <w:pStyle w:val="TableParagraph"/>
              <w:spacing w:before="115"/>
              <w:ind w:right="131"/>
              <w:jc w:val="center"/>
              <w:rPr>
                <w:sz w:val="24"/>
                <w:szCs w:val="24"/>
              </w:rPr>
            </w:pPr>
            <w:r w:rsidRPr="004D0A82">
              <w:rPr>
                <w:sz w:val="24"/>
                <w:szCs w:val="24"/>
              </w:rPr>
              <w:t>15</w:t>
            </w:r>
          </w:p>
        </w:tc>
        <w:tc>
          <w:tcPr>
            <w:tcW w:w="5670" w:type="dxa"/>
            <w:shd w:val="clear" w:color="auto" w:fill="FFFFFF" w:themeFill="background1"/>
          </w:tcPr>
          <w:p w:rsidR="006358B4" w:rsidRPr="004D0A82" w:rsidRDefault="006358B4" w:rsidP="004D0A82">
            <w:pPr>
              <w:pStyle w:val="TableParagraph"/>
              <w:spacing w:before="19" w:line="190" w:lineRule="atLeast"/>
              <w:ind w:left="283" w:right="424"/>
              <w:jc w:val="both"/>
              <w:rPr>
                <w:sz w:val="24"/>
                <w:szCs w:val="24"/>
                <w:lang w:val="pt-BR"/>
              </w:rPr>
            </w:pPr>
            <w:r w:rsidRPr="004D0A82">
              <w:rPr>
                <w:sz w:val="24"/>
                <w:szCs w:val="24"/>
                <w:lang w:val="pt-BR"/>
              </w:rPr>
              <w:t>Licença de Construção e reforma Residencial – Unifamiliar/</w:t>
            </w:r>
            <w:r w:rsidR="00D55475" w:rsidRPr="004D0A82">
              <w:rPr>
                <w:sz w:val="24"/>
                <w:szCs w:val="24"/>
                <w:lang w:val="pt-BR"/>
              </w:rPr>
              <w:t>Multifamiliar/</w:t>
            </w:r>
            <w:r w:rsidRPr="004D0A82">
              <w:rPr>
                <w:sz w:val="24"/>
                <w:szCs w:val="24"/>
                <w:lang w:val="pt-BR"/>
              </w:rPr>
              <w:t>Comercial por m²</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spacing w:before="33"/>
              <w:ind w:right="131"/>
              <w:jc w:val="center"/>
              <w:rPr>
                <w:sz w:val="24"/>
                <w:szCs w:val="24"/>
                <w:lang w:val="pt-BR"/>
              </w:rPr>
            </w:pPr>
            <w:r w:rsidRPr="004D0A82">
              <w:rPr>
                <w:sz w:val="24"/>
                <w:szCs w:val="24"/>
                <w:lang w:val="pt-BR"/>
              </w:rPr>
              <w:t>0,17 até 70 m² e 0,017 por m² excedente</w:t>
            </w:r>
          </w:p>
        </w:tc>
      </w:tr>
      <w:tr w:rsidR="006358B4" w:rsidRPr="009912F5" w:rsidTr="004D0A82">
        <w:trPr>
          <w:trHeight w:val="385"/>
        </w:trPr>
        <w:tc>
          <w:tcPr>
            <w:tcW w:w="1277" w:type="dxa"/>
          </w:tcPr>
          <w:p w:rsidR="006358B4" w:rsidRPr="009912F5" w:rsidRDefault="006358B4" w:rsidP="004D0A82">
            <w:pPr>
              <w:pStyle w:val="TableParagraph"/>
              <w:spacing w:before="98"/>
              <w:ind w:right="131"/>
              <w:jc w:val="center"/>
              <w:rPr>
                <w:sz w:val="24"/>
                <w:szCs w:val="24"/>
              </w:rPr>
            </w:pPr>
            <w:r w:rsidRPr="009912F5">
              <w:rPr>
                <w:sz w:val="24"/>
                <w:szCs w:val="24"/>
              </w:rPr>
              <w:t>16</w:t>
            </w:r>
          </w:p>
        </w:tc>
        <w:tc>
          <w:tcPr>
            <w:tcW w:w="5670" w:type="dxa"/>
            <w:shd w:val="clear" w:color="auto" w:fill="FFFFFF" w:themeFill="background1"/>
          </w:tcPr>
          <w:p w:rsidR="006358B4" w:rsidRPr="009912F5" w:rsidRDefault="006358B4" w:rsidP="004D0A82">
            <w:pPr>
              <w:pStyle w:val="TableParagraph"/>
              <w:spacing w:before="98"/>
              <w:ind w:left="283" w:right="424"/>
              <w:jc w:val="both"/>
              <w:rPr>
                <w:sz w:val="24"/>
                <w:szCs w:val="24"/>
                <w:lang w:val="pt-BR"/>
              </w:rPr>
            </w:pPr>
            <w:r w:rsidRPr="009912F5">
              <w:rPr>
                <w:sz w:val="24"/>
                <w:szCs w:val="24"/>
                <w:lang w:val="pt-BR"/>
              </w:rPr>
              <w:t>Certidão de Numeração por unidade</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6"/>
              <w:ind w:right="131"/>
              <w:jc w:val="center"/>
              <w:rPr>
                <w:sz w:val="24"/>
                <w:szCs w:val="24"/>
              </w:rPr>
            </w:pPr>
            <w:r w:rsidRPr="009912F5">
              <w:rPr>
                <w:sz w:val="24"/>
                <w:szCs w:val="24"/>
              </w:rPr>
              <w:t>0,20</w:t>
            </w:r>
          </w:p>
        </w:tc>
      </w:tr>
      <w:tr w:rsidR="006358B4" w:rsidRPr="009912F5" w:rsidTr="004D0A82">
        <w:trPr>
          <w:trHeight w:val="383"/>
        </w:trPr>
        <w:tc>
          <w:tcPr>
            <w:tcW w:w="1277" w:type="dxa"/>
          </w:tcPr>
          <w:p w:rsidR="006358B4" w:rsidRPr="009912F5" w:rsidRDefault="006358B4" w:rsidP="004D0A82">
            <w:pPr>
              <w:pStyle w:val="TableParagraph"/>
              <w:spacing w:before="95"/>
              <w:ind w:right="131"/>
              <w:jc w:val="center"/>
              <w:rPr>
                <w:sz w:val="24"/>
                <w:szCs w:val="24"/>
              </w:rPr>
            </w:pPr>
            <w:r w:rsidRPr="009912F5">
              <w:rPr>
                <w:sz w:val="24"/>
                <w:szCs w:val="24"/>
              </w:rPr>
              <w:t>17</w:t>
            </w:r>
          </w:p>
        </w:tc>
        <w:tc>
          <w:tcPr>
            <w:tcW w:w="5670" w:type="dxa"/>
            <w:shd w:val="clear" w:color="auto" w:fill="FFFFFF" w:themeFill="background1"/>
          </w:tcPr>
          <w:p w:rsidR="006358B4" w:rsidRPr="009912F5" w:rsidRDefault="006358B4" w:rsidP="004D0A82">
            <w:pPr>
              <w:pStyle w:val="TableParagraph"/>
              <w:spacing w:before="95"/>
              <w:ind w:left="283" w:right="424"/>
              <w:jc w:val="both"/>
              <w:rPr>
                <w:sz w:val="24"/>
                <w:szCs w:val="24"/>
                <w:lang w:val="pt-BR"/>
              </w:rPr>
            </w:pPr>
            <w:r w:rsidRPr="009912F5">
              <w:rPr>
                <w:sz w:val="24"/>
                <w:szCs w:val="24"/>
                <w:lang w:val="pt-BR"/>
              </w:rPr>
              <w:t xml:space="preserve">Renovação de Licença de construção </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t>0,20</w:t>
            </w:r>
          </w:p>
        </w:tc>
      </w:tr>
      <w:tr w:rsidR="006358B4" w:rsidRPr="009912F5" w:rsidTr="004D0A82">
        <w:trPr>
          <w:trHeight w:val="383"/>
        </w:trPr>
        <w:tc>
          <w:tcPr>
            <w:tcW w:w="1277" w:type="dxa"/>
          </w:tcPr>
          <w:p w:rsidR="006358B4" w:rsidRPr="009912F5" w:rsidRDefault="006358B4" w:rsidP="004D0A82">
            <w:pPr>
              <w:pStyle w:val="TableParagraph"/>
              <w:spacing w:before="95"/>
              <w:ind w:right="131"/>
              <w:jc w:val="center"/>
              <w:rPr>
                <w:sz w:val="24"/>
                <w:szCs w:val="24"/>
              </w:rPr>
            </w:pPr>
            <w:r w:rsidRPr="009912F5">
              <w:rPr>
                <w:sz w:val="24"/>
                <w:szCs w:val="24"/>
              </w:rPr>
              <w:t>18</w:t>
            </w:r>
          </w:p>
        </w:tc>
        <w:tc>
          <w:tcPr>
            <w:tcW w:w="5670" w:type="dxa"/>
            <w:shd w:val="clear" w:color="auto" w:fill="FFFFFF" w:themeFill="background1"/>
          </w:tcPr>
          <w:p w:rsidR="006358B4" w:rsidRPr="009912F5" w:rsidRDefault="006358B4" w:rsidP="004D0A82">
            <w:pPr>
              <w:pStyle w:val="TableParagraph"/>
              <w:spacing w:before="95"/>
              <w:ind w:left="283" w:right="424"/>
              <w:jc w:val="both"/>
              <w:rPr>
                <w:sz w:val="24"/>
                <w:szCs w:val="24"/>
                <w:lang w:val="pt-BR"/>
              </w:rPr>
            </w:pPr>
            <w:r w:rsidRPr="009912F5">
              <w:rPr>
                <w:sz w:val="24"/>
                <w:szCs w:val="24"/>
                <w:lang w:val="pt-BR"/>
              </w:rPr>
              <w:t>Vistoria para emitir certidão de alinhamento de rede elétrica</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t>0,20</w:t>
            </w:r>
          </w:p>
        </w:tc>
      </w:tr>
      <w:tr w:rsidR="006358B4" w:rsidRPr="009912F5" w:rsidTr="004D0A82">
        <w:trPr>
          <w:trHeight w:val="383"/>
        </w:trPr>
        <w:tc>
          <w:tcPr>
            <w:tcW w:w="1277" w:type="dxa"/>
          </w:tcPr>
          <w:p w:rsidR="006358B4" w:rsidRPr="009912F5" w:rsidRDefault="006358B4" w:rsidP="004D0A82">
            <w:pPr>
              <w:pStyle w:val="TableParagraph"/>
              <w:spacing w:before="95"/>
              <w:ind w:right="131"/>
              <w:jc w:val="center"/>
              <w:rPr>
                <w:sz w:val="24"/>
                <w:szCs w:val="24"/>
              </w:rPr>
            </w:pPr>
            <w:r w:rsidRPr="009912F5">
              <w:rPr>
                <w:sz w:val="24"/>
                <w:szCs w:val="24"/>
              </w:rPr>
              <w:t>19</w:t>
            </w:r>
          </w:p>
        </w:tc>
        <w:tc>
          <w:tcPr>
            <w:tcW w:w="5670" w:type="dxa"/>
            <w:shd w:val="clear" w:color="auto" w:fill="FFFFFF" w:themeFill="background1"/>
          </w:tcPr>
          <w:p w:rsidR="006358B4" w:rsidRPr="009912F5" w:rsidRDefault="006358B4" w:rsidP="004D0A82">
            <w:pPr>
              <w:pStyle w:val="TableParagraph"/>
              <w:spacing w:before="95"/>
              <w:ind w:left="283" w:right="424"/>
              <w:jc w:val="both"/>
              <w:rPr>
                <w:sz w:val="24"/>
                <w:szCs w:val="24"/>
                <w:lang w:val="pt-BR"/>
              </w:rPr>
            </w:pPr>
            <w:r w:rsidRPr="009912F5">
              <w:rPr>
                <w:sz w:val="24"/>
                <w:szCs w:val="24"/>
                <w:lang w:val="pt-BR"/>
              </w:rPr>
              <w:t>Certidão de alinhamento de rede elétrica</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t>0,20</w:t>
            </w:r>
          </w:p>
        </w:tc>
      </w:tr>
      <w:tr w:rsidR="006358B4" w:rsidRPr="009912F5" w:rsidTr="004D0A82">
        <w:trPr>
          <w:trHeight w:val="559"/>
        </w:trPr>
        <w:tc>
          <w:tcPr>
            <w:tcW w:w="1277" w:type="dxa"/>
          </w:tcPr>
          <w:p w:rsidR="006358B4" w:rsidRPr="004D0A82" w:rsidRDefault="006358B4" w:rsidP="004D0A82">
            <w:pPr>
              <w:pStyle w:val="TableParagraph"/>
              <w:spacing w:before="95"/>
              <w:ind w:right="131"/>
              <w:jc w:val="center"/>
              <w:rPr>
                <w:sz w:val="24"/>
                <w:szCs w:val="24"/>
              </w:rPr>
            </w:pPr>
            <w:r w:rsidRPr="004D0A82">
              <w:rPr>
                <w:sz w:val="24"/>
                <w:szCs w:val="24"/>
              </w:rPr>
              <w:t>20</w:t>
            </w:r>
          </w:p>
        </w:tc>
        <w:tc>
          <w:tcPr>
            <w:tcW w:w="5670" w:type="dxa"/>
            <w:shd w:val="clear" w:color="auto" w:fill="FFFFFF" w:themeFill="background1"/>
          </w:tcPr>
          <w:p w:rsidR="006358B4" w:rsidRPr="004D0A82" w:rsidRDefault="006358B4" w:rsidP="004D0A82">
            <w:pPr>
              <w:pStyle w:val="TableParagraph"/>
              <w:spacing w:before="95"/>
              <w:ind w:left="283" w:right="424"/>
              <w:jc w:val="both"/>
              <w:rPr>
                <w:sz w:val="24"/>
                <w:szCs w:val="24"/>
                <w:lang w:val="pt-BR"/>
              </w:rPr>
            </w:pPr>
            <w:r w:rsidRPr="004D0A82">
              <w:rPr>
                <w:sz w:val="24"/>
                <w:szCs w:val="24"/>
                <w:lang w:val="pt-BR"/>
              </w:rPr>
              <w:t>Vistoria de infraestrutura de loteamento</w:t>
            </w:r>
          </w:p>
        </w:tc>
        <w:tc>
          <w:tcPr>
            <w:tcW w:w="2551" w:type="dxa"/>
            <w:tcBorders>
              <w:top w:val="single" w:sz="4" w:space="0" w:color="000009"/>
              <w:bottom w:val="single" w:sz="4" w:space="0" w:color="000009"/>
              <w:right w:val="single" w:sz="4" w:space="0" w:color="000009"/>
            </w:tcBorders>
          </w:tcPr>
          <w:p w:rsidR="006358B4" w:rsidRPr="004D0A82" w:rsidRDefault="006358B4" w:rsidP="004D0A82">
            <w:pPr>
              <w:pStyle w:val="TableParagraph"/>
              <w:spacing w:before="14"/>
              <w:ind w:right="131"/>
              <w:jc w:val="center"/>
              <w:rPr>
                <w:sz w:val="24"/>
                <w:szCs w:val="24"/>
                <w:lang w:val="pt-BR"/>
              </w:rPr>
            </w:pPr>
            <w:r w:rsidRPr="004D0A82">
              <w:rPr>
                <w:sz w:val="24"/>
                <w:szCs w:val="24"/>
                <w:lang w:val="pt-BR"/>
              </w:rPr>
              <w:t xml:space="preserve">1,00 a cada </w:t>
            </w:r>
            <w:r w:rsidR="00D55475" w:rsidRPr="004D0A82">
              <w:rPr>
                <w:sz w:val="24"/>
                <w:szCs w:val="24"/>
                <w:lang w:val="pt-BR"/>
              </w:rPr>
              <w:t>1</w:t>
            </w:r>
            <w:r w:rsidRPr="004D0A82">
              <w:rPr>
                <w:sz w:val="24"/>
                <w:szCs w:val="24"/>
                <w:lang w:val="pt-BR"/>
              </w:rPr>
              <w:t>5.000 m²</w:t>
            </w:r>
          </w:p>
        </w:tc>
      </w:tr>
      <w:tr w:rsidR="006358B4" w:rsidRPr="009912F5" w:rsidTr="004D0A82">
        <w:trPr>
          <w:trHeight w:val="383"/>
        </w:trPr>
        <w:tc>
          <w:tcPr>
            <w:tcW w:w="1277" w:type="dxa"/>
          </w:tcPr>
          <w:p w:rsidR="006358B4" w:rsidRPr="009912F5" w:rsidRDefault="006358B4" w:rsidP="004D0A82">
            <w:pPr>
              <w:pStyle w:val="TableParagraph"/>
              <w:spacing w:before="95"/>
              <w:ind w:right="131"/>
              <w:jc w:val="center"/>
              <w:rPr>
                <w:sz w:val="24"/>
                <w:szCs w:val="24"/>
              </w:rPr>
            </w:pPr>
            <w:r w:rsidRPr="009912F5">
              <w:rPr>
                <w:sz w:val="24"/>
                <w:szCs w:val="24"/>
              </w:rPr>
              <w:t>21</w:t>
            </w:r>
          </w:p>
        </w:tc>
        <w:tc>
          <w:tcPr>
            <w:tcW w:w="5670" w:type="dxa"/>
            <w:shd w:val="clear" w:color="auto" w:fill="FFFFFF" w:themeFill="background1"/>
          </w:tcPr>
          <w:p w:rsidR="006358B4" w:rsidRPr="009912F5" w:rsidRDefault="006358B4" w:rsidP="004D0A82">
            <w:pPr>
              <w:pStyle w:val="TableParagraph"/>
              <w:spacing w:before="95"/>
              <w:ind w:left="283" w:right="424"/>
              <w:jc w:val="both"/>
              <w:rPr>
                <w:sz w:val="24"/>
                <w:szCs w:val="24"/>
                <w:lang w:val="pt-BR"/>
              </w:rPr>
            </w:pPr>
            <w:r w:rsidRPr="009912F5">
              <w:rPr>
                <w:sz w:val="24"/>
                <w:szCs w:val="24"/>
                <w:lang w:val="pt-BR"/>
              </w:rPr>
              <w:t xml:space="preserve">Certidão para liberação de lotes caucionados em loteamentos novos </w:t>
            </w:r>
          </w:p>
        </w:tc>
        <w:tc>
          <w:tcPr>
            <w:tcW w:w="2551" w:type="dxa"/>
            <w:tcBorders>
              <w:top w:val="single" w:sz="4" w:space="0" w:color="000009"/>
              <w:bottom w:val="single" w:sz="4" w:space="0" w:color="000009"/>
              <w:right w:val="single" w:sz="4" w:space="0" w:color="000009"/>
            </w:tcBorders>
          </w:tcPr>
          <w:p w:rsidR="006358B4" w:rsidRPr="009912F5" w:rsidRDefault="006358B4" w:rsidP="004D0A82">
            <w:pPr>
              <w:pStyle w:val="TableParagraph"/>
              <w:spacing w:before="14"/>
              <w:ind w:right="131"/>
              <w:jc w:val="center"/>
              <w:rPr>
                <w:sz w:val="24"/>
                <w:szCs w:val="24"/>
                <w:lang w:val="pt-BR"/>
              </w:rPr>
            </w:pPr>
            <w:r w:rsidRPr="009912F5">
              <w:rPr>
                <w:sz w:val="24"/>
                <w:szCs w:val="24"/>
                <w:lang w:val="pt-BR"/>
              </w:rPr>
              <w:t>0,20</w:t>
            </w:r>
          </w:p>
        </w:tc>
      </w:tr>
    </w:tbl>
    <w:p w:rsidR="00D55475" w:rsidRDefault="00D55475" w:rsidP="00D55475">
      <w:pPr>
        <w:spacing w:after="0"/>
        <w:jc w:val="both"/>
        <w:rPr>
          <w:rFonts w:cstheme="minorHAnsi"/>
          <w:b/>
          <w:bCs/>
          <w:sz w:val="24"/>
          <w:szCs w:val="24"/>
        </w:rPr>
      </w:pPr>
    </w:p>
    <w:p w:rsidR="00D55475" w:rsidRPr="004D0A82" w:rsidRDefault="00D55475" w:rsidP="00D55475">
      <w:pPr>
        <w:spacing w:after="0"/>
        <w:jc w:val="both"/>
        <w:rPr>
          <w:rFonts w:ascii="Times New Roman" w:hAnsi="Times New Roman" w:cs="Times New Roman"/>
          <w:bCs/>
          <w:sz w:val="24"/>
          <w:szCs w:val="24"/>
        </w:rPr>
      </w:pPr>
      <w:r w:rsidRPr="004D0A82">
        <w:rPr>
          <w:rFonts w:ascii="Times New Roman" w:hAnsi="Times New Roman" w:cs="Times New Roman"/>
          <w:bCs/>
          <w:sz w:val="24"/>
          <w:szCs w:val="24"/>
        </w:rPr>
        <w:t xml:space="preserve"> (NR)”</w:t>
      </w:r>
    </w:p>
    <w:p w:rsidR="00016242" w:rsidRPr="004D0A82" w:rsidRDefault="006265C5" w:rsidP="006A4446">
      <w:pPr>
        <w:tabs>
          <w:tab w:val="left" w:pos="426"/>
        </w:tabs>
        <w:spacing w:after="0" w:line="240" w:lineRule="auto"/>
        <w:ind w:firstLine="851"/>
        <w:jc w:val="both"/>
        <w:rPr>
          <w:rFonts w:ascii="Times New Roman" w:hAnsi="Times New Roman" w:cs="Times New Roman"/>
          <w:sz w:val="24"/>
          <w:szCs w:val="24"/>
        </w:rPr>
      </w:pPr>
      <w:r w:rsidRPr="004D0A82">
        <w:rPr>
          <w:rFonts w:ascii="Times New Roman" w:hAnsi="Times New Roman" w:cs="Times New Roman"/>
          <w:bCs/>
          <w:sz w:val="24"/>
          <w:szCs w:val="24"/>
        </w:rPr>
        <w:lastRenderedPageBreak/>
        <w:t>Art. 3º</w:t>
      </w:r>
      <w:r w:rsidR="00016242" w:rsidRPr="004D0A82">
        <w:rPr>
          <w:rFonts w:ascii="Times New Roman" w:hAnsi="Times New Roman" w:cs="Times New Roman"/>
          <w:sz w:val="24"/>
          <w:szCs w:val="24"/>
        </w:rPr>
        <w:t xml:space="preserve"> </w:t>
      </w:r>
      <w:r w:rsidR="00614C78" w:rsidRPr="004D0A82">
        <w:rPr>
          <w:rFonts w:ascii="Times New Roman" w:hAnsi="Times New Roman" w:cs="Times New Roman"/>
          <w:sz w:val="24"/>
          <w:szCs w:val="24"/>
        </w:rPr>
        <w:t>Altera a redação do caput do art. 412 da Lei Complementar nº 004/2018, que passa a ter a seguinte redação</w:t>
      </w:r>
      <w:r w:rsidR="00016242" w:rsidRPr="004D0A82">
        <w:rPr>
          <w:rFonts w:ascii="Times New Roman" w:hAnsi="Times New Roman" w:cs="Times New Roman"/>
          <w:sz w:val="24"/>
          <w:szCs w:val="24"/>
        </w:rPr>
        <w:t>:</w:t>
      </w:r>
    </w:p>
    <w:p w:rsidR="00016242" w:rsidRPr="004D0A82" w:rsidRDefault="00016242" w:rsidP="006A4446">
      <w:pPr>
        <w:spacing w:after="0" w:line="240" w:lineRule="auto"/>
        <w:ind w:firstLine="851"/>
        <w:jc w:val="both"/>
        <w:rPr>
          <w:rFonts w:ascii="Times New Roman" w:eastAsia="Times New Roman" w:hAnsi="Times New Roman" w:cs="Times New Roman"/>
          <w:i/>
          <w:sz w:val="24"/>
          <w:szCs w:val="24"/>
        </w:rPr>
      </w:pPr>
    </w:p>
    <w:p w:rsidR="00016242" w:rsidRPr="004D0A82" w:rsidRDefault="00614C78" w:rsidP="006A4446">
      <w:pPr>
        <w:spacing w:after="0" w:line="240" w:lineRule="auto"/>
        <w:ind w:firstLine="851"/>
        <w:jc w:val="both"/>
        <w:rPr>
          <w:rFonts w:ascii="Times New Roman" w:hAnsi="Times New Roman" w:cs="Times New Roman"/>
          <w:sz w:val="24"/>
          <w:szCs w:val="24"/>
        </w:rPr>
      </w:pPr>
      <w:r w:rsidRPr="004D0A82">
        <w:rPr>
          <w:rFonts w:ascii="Times New Roman" w:eastAsia="Times New Roman" w:hAnsi="Times New Roman" w:cs="Times New Roman"/>
          <w:bCs/>
          <w:sz w:val="24"/>
          <w:szCs w:val="24"/>
        </w:rPr>
        <w:t>"Art. 412</w:t>
      </w:r>
      <w:r w:rsidR="002E75B1" w:rsidRPr="004D0A82">
        <w:rPr>
          <w:rFonts w:ascii="Times New Roman" w:eastAsia="Times New Roman" w:hAnsi="Times New Roman" w:cs="Times New Roman"/>
          <w:bCs/>
          <w:sz w:val="24"/>
          <w:szCs w:val="24"/>
        </w:rPr>
        <w:t>.</w:t>
      </w:r>
      <w:r w:rsidR="00016242" w:rsidRPr="004D0A82">
        <w:rPr>
          <w:rFonts w:ascii="Times New Roman" w:eastAsia="Times New Roman" w:hAnsi="Times New Roman" w:cs="Times New Roman"/>
          <w:sz w:val="24"/>
          <w:szCs w:val="24"/>
        </w:rPr>
        <w:t xml:space="preserve"> A Taxa é diferenciada em função da natureza da atividade e é válida </w:t>
      </w:r>
      <w:r w:rsidR="002E75B1" w:rsidRPr="004D0A82">
        <w:rPr>
          <w:rFonts w:ascii="Times New Roman" w:eastAsia="Times New Roman" w:hAnsi="Times New Roman" w:cs="Times New Roman"/>
          <w:sz w:val="24"/>
          <w:szCs w:val="24"/>
        </w:rPr>
        <w:t xml:space="preserve">por dois anos </w:t>
      </w:r>
      <w:r w:rsidR="002E75B1" w:rsidRPr="006A4446">
        <w:rPr>
          <w:rFonts w:ascii="Times New Roman" w:eastAsia="Times New Roman" w:hAnsi="Times New Roman" w:cs="Times New Roman"/>
          <w:sz w:val="24"/>
          <w:szCs w:val="24"/>
        </w:rPr>
        <w:t>e cobrada</w:t>
      </w:r>
      <w:r w:rsidR="00016242" w:rsidRPr="004D0A82">
        <w:rPr>
          <w:rFonts w:ascii="Times New Roman" w:eastAsia="Times New Roman" w:hAnsi="Times New Roman" w:cs="Times New Roman"/>
          <w:sz w:val="24"/>
          <w:szCs w:val="24"/>
        </w:rPr>
        <w:t xml:space="preserve"> em valor fixo, tendo como base de cálculo a URM, na forma da </w:t>
      </w:r>
      <w:r w:rsidR="00016242" w:rsidRPr="004D0A82">
        <w:rPr>
          <w:rFonts w:ascii="Times New Roman" w:hAnsi="Times New Roman" w:cs="Times New Roman"/>
          <w:sz w:val="24"/>
          <w:szCs w:val="24"/>
        </w:rPr>
        <w:t>Tabela III desta Lei."</w:t>
      </w:r>
      <w:r w:rsidR="00A75EB1" w:rsidRPr="004D0A82">
        <w:rPr>
          <w:rFonts w:ascii="Times New Roman" w:hAnsi="Times New Roman" w:cs="Times New Roman"/>
          <w:sz w:val="24"/>
          <w:szCs w:val="24"/>
        </w:rPr>
        <w:t xml:space="preserve">  </w:t>
      </w:r>
      <w:r w:rsidRPr="004D0A82">
        <w:rPr>
          <w:rFonts w:ascii="Times New Roman" w:hAnsi="Times New Roman" w:cs="Times New Roman"/>
          <w:sz w:val="24"/>
          <w:szCs w:val="24"/>
        </w:rPr>
        <w:t>(NR)</w:t>
      </w:r>
    </w:p>
    <w:p w:rsidR="00016242" w:rsidRPr="004D0A82" w:rsidRDefault="00016242" w:rsidP="006A4446">
      <w:pPr>
        <w:spacing w:after="0" w:line="240" w:lineRule="auto"/>
        <w:ind w:firstLine="851"/>
        <w:jc w:val="both"/>
        <w:rPr>
          <w:rFonts w:ascii="Times New Roman" w:eastAsia="Times New Roman" w:hAnsi="Times New Roman" w:cs="Times New Roman"/>
          <w:i/>
          <w:sz w:val="24"/>
          <w:szCs w:val="24"/>
        </w:rPr>
      </w:pPr>
    </w:p>
    <w:p w:rsidR="00016242" w:rsidRPr="004D0A82" w:rsidRDefault="00016242" w:rsidP="006A4446">
      <w:pPr>
        <w:spacing w:after="0" w:line="240" w:lineRule="auto"/>
        <w:ind w:firstLine="851"/>
        <w:jc w:val="both"/>
        <w:rPr>
          <w:rFonts w:ascii="Times New Roman" w:hAnsi="Times New Roman" w:cs="Times New Roman"/>
          <w:sz w:val="24"/>
          <w:szCs w:val="24"/>
        </w:rPr>
      </w:pPr>
      <w:r w:rsidRPr="004D0A82">
        <w:rPr>
          <w:rFonts w:ascii="Times New Roman" w:hAnsi="Times New Roman" w:cs="Times New Roman"/>
          <w:bCs/>
          <w:sz w:val="24"/>
          <w:szCs w:val="24"/>
        </w:rPr>
        <w:t xml:space="preserve">Art. </w:t>
      </w:r>
      <w:r w:rsidR="00DB136C" w:rsidRPr="004D0A82">
        <w:rPr>
          <w:rFonts w:ascii="Times New Roman" w:hAnsi="Times New Roman" w:cs="Times New Roman"/>
          <w:bCs/>
          <w:sz w:val="24"/>
          <w:szCs w:val="24"/>
        </w:rPr>
        <w:t>4</w:t>
      </w:r>
      <w:r w:rsidR="00614C78" w:rsidRPr="004D0A82">
        <w:rPr>
          <w:rFonts w:ascii="Times New Roman" w:hAnsi="Times New Roman" w:cs="Times New Roman"/>
          <w:bCs/>
          <w:sz w:val="24"/>
          <w:szCs w:val="24"/>
        </w:rPr>
        <w:t>º</w:t>
      </w:r>
      <w:r w:rsidRPr="004D0A82">
        <w:rPr>
          <w:rFonts w:ascii="Times New Roman" w:hAnsi="Times New Roman" w:cs="Times New Roman"/>
          <w:sz w:val="24"/>
          <w:szCs w:val="24"/>
        </w:rPr>
        <w:t xml:space="preserve"> </w:t>
      </w:r>
      <w:r w:rsidR="00614C78" w:rsidRPr="004D0A82">
        <w:rPr>
          <w:rFonts w:ascii="Times New Roman" w:hAnsi="Times New Roman" w:cs="Times New Roman"/>
          <w:sz w:val="24"/>
          <w:szCs w:val="24"/>
        </w:rPr>
        <w:t>Altera a redação do art. 413 da Lei Complementar nº 004/2018, que passa a ter a seguinte redação:</w:t>
      </w:r>
    </w:p>
    <w:p w:rsidR="006265C5" w:rsidRPr="004D0A82" w:rsidRDefault="006265C5" w:rsidP="006A4446">
      <w:pPr>
        <w:spacing w:after="0" w:line="240" w:lineRule="auto"/>
        <w:ind w:firstLine="851"/>
        <w:jc w:val="both"/>
        <w:rPr>
          <w:rFonts w:ascii="Times New Roman" w:hAnsi="Times New Roman" w:cs="Times New Roman"/>
          <w:sz w:val="24"/>
          <w:szCs w:val="24"/>
        </w:rPr>
      </w:pPr>
    </w:p>
    <w:p w:rsidR="00AB6E67" w:rsidRDefault="00A75EB1" w:rsidP="006A4446">
      <w:pPr>
        <w:spacing w:after="0" w:line="240" w:lineRule="auto"/>
        <w:ind w:firstLine="851"/>
        <w:jc w:val="both"/>
        <w:rPr>
          <w:rFonts w:ascii="Times New Roman" w:eastAsia="Times New Roman" w:hAnsi="Times New Roman" w:cs="Times New Roman"/>
          <w:sz w:val="24"/>
          <w:szCs w:val="24"/>
        </w:rPr>
      </w:pPr>
      <w:r w:rsidRPr="004D0A82">
        <w:rPr>
          <w:rFonts w:ascii="Times New Roman" w:eastAsia="Times New Roman" w:hAnsi="Times New Roman" w:cs="Times New Roman"/>
          <w:bCs/>
          <w:sz w:val="24"/>
          <w:szCs w:val="24"/>
        </w:rPr>
        <w:t>“Art. 413</w:t>
      </w:r>
      <w:r w:rsidR="002E75B1" w:rsidRPr="004D0A82">
        <w:rPr>
          <w:rFonts w:ascii="Times New Roman" w:eastAsia="Times New Roman" w:hAnsi="Times New Roman" w:cs="Times New Roman"/>
          <w:bCs/>
          <w:sz w:val="24"/>
          <w:szCs w:val="24"/>
        </w:rPr>
        <w:t>.</w:t>
      </w:r>
      <w:r w:rsidR="006265C5" w:rsidRPr="004D0A82">
        <w:rPr>
          <w:rFonts w:ascii="Times New Roman" w:eastAsia="Times New Roman" w:hAnsi="Times New Roman" w:cs="Times New Roman"/>
          <w:sz w:val="24"/>
          <w:szCs w:val="24"/>
        </w:rPr>
        <w:t xml:space="preserve"> A Taxa será lançada por ocasião da localização e instalação do estabelecimento e, depois </w:t>
      </w:r>
      <w:r w:rsidR="00525512" w:rsidRPr="004D0A82">
        <w:rPr>
          <w:rFonts w:ascii="Times New Roman" w:eastAsia="Times New Roman" w:hAnsi="Times New Roman" w:cs="Times New Roman"/>
          <w:sz w:val="24"/>
          <w:szCs w:val="24"/>
        </w:rPr>
        <w:t>a cada dois anos</w:t>
      </w:r>
      <w:r w:rsidR="006265C5" w:rsidRPr="004D0A82">
        <w:rPr>
          <w:rFonts w:ascii="Times New Roman" w:eastAsia="Times New Roman" w:hAnsi="Times New Roman" w:cs="Times New Roman"/>
          <w:sz w:val="24"/>
          <w:szCs w:val="24"/>
        </w:rPr>
        <w:t>, por ocasião da revalidação do Alvará, com vencimento para o último dia útil do mês de março.</w:t>
      </w:r>
    </w:p>
    <w:p w:rsidR="004D0A82" w:rsidRPr="004D0A82" w:rsidRDefault="004D0A82" w:rsidP="006A4446">
      <w:pPr>
        <w:spacing w:after="0" w:line="240" w:lineRule="auto"/>
        <w:ind w:firstLine="851"/>
        <w:jc w:val="both"/>
        <w:rPr>
          <w:rFonts w:ascii="Times New Roman" w:eastAsia="Times New Roman" w:hAnsi="Times New Roman" w:cs="Times New Roman"/>
          <w:sz w:val="24"/>
          <w:szCs w:val="24"/>
        </w:rPr>
      </w:pPr>
    </w:p>
    <w:p w:rsidR="00742975" w:rsidRDefault="00016242" w:rsidP="006A4446">
      <w:pPr>
        <w:spacing w:after="0" w:line="240" w:lineRule="auto"/>
        <w:ind w:firstLine="851"/>
        <w:jc w:val="both"/>
        <w:rPr>
          <w:rFonts w:ascii="Times New Roman" w:eastAsia="Times New Roman" w:hAnsi="Times New Roman" w:cs="Times New Roman"/>
          <w:sz w:val="24"/>
          <w:szCs w:val="24"/>
        </w:rPr>
      </w:pPr>
      <w:r w:rsidRPr="004D0A82">
        <w:rPr>
          <w:rFonts w:ascii="Times New Roman" w:eastAsia="Times New Roman" w:hAnsi="Times New Roman" w:cs="Times New Roman"/>
          <w:bCs/>
          <w:sz w:val="24"/>
          <w:szCs w:val="24"/>
        </w:rPr>
        <w:t>§ 1º</w:t>
      </w:r>
      <w:r w:rsidRPr="004D0A82">
        <w:rPr>
          <w:rFonts w:ascii="Times New Roman" w:eastAsia="Times New Roman" w:hAnsi="Times New Roman" w:cs="Times New Roman"/>
          <w:b/>
          <w:bCs/>
          <w:sz w:val="24"/>
          <w:szCs w:val="24"/>
        </w:rPr>
        <w:t xml:space="preserve"> </w:t>
      </w:r>
      <w:r w:rsidRPr="004D0A82">
        <w:rPr>
          <w:rFonts w:ascii="Times New Roman" w:eastAsia="Times New Roman" w:hAnsi="Times New Roman" w:cs="Times New Roman"/>
          <w:sz w:val="24"/>
          <w:szCs w:val="24"/>
        </w:rPr>
        <w:t xml:space="preserve">A Taxa será devida integral e </w:t>
      </w:r>
      <w:r w:rsidR="00525512" w:rsidRPr="004D0A82">
        <w:rPr>
          <w:rFonts w:ascii="Times New Roman" w:eastAsia="Times New Roman" w:hAnsi="Times New Roman" w:cs="Times New Roman"/>
          <w:sz w:val="24"/>
          <w:szCs w:val="24"/>
        </w:rPr>
        <w:t>a cada dois anos</w:t>
      </w:r>
      <w:r w:rsidRPr="004D0A82">
        <w:rPr>
          <w:rFonts w:ascii="Times New Roman" w:eastAsia="Times New Roman" w:hAnsi="Times New Roman" w:cs="Times New Roman"/>
          <w:sz w:val="24"/>
          <w:szCs w:val="24"/>
        </w:rPr>
        <w:t>, independente da data de abertura do estabelecimento, transferência do local ou</w:t>
      </w:r>
      <w:r w:rsidR="00A75EB1" w:rsidRPr="004D0A82">
        <w:rPr>
          <w:rFonts w:ascii="Times New Roman" w:eastAsia="Times New Roman" w:hAnsi="Times New Roman" w:cs="Times New Roman"/>
          <w:sz w:val="24"/>
          <w:szCs w:val="24"/>
        </w:rPr>
        <w:t xml:space="preserve"> qualquer alteração contratual.</w:t>
      </w:r>
    </w:p>
    <w:p w:rsidR="004D0A82" w:rsidRPr="004D0A82" w:rsidRDefault="004D0A82" w:rsidP="006A4446">
      <w:pPr>
        <w:spacing w:after="0" w:line="240" w:lineRule="auto"/>
        <w:ind w:firstLine="851"/>
        <w:jc w:val="both"/>
        <w:rPr>
          <w:rFonts w:ascii="Times New Roman" w:eastAsia="Times New Roman" w:hAnsi="Times New Roman" w:cs="Times New Roman"/>
          <w:sz w:val="24"/>
          <w:szCs w:val="24"/>
        </w:rPr>
      </w:pPr>
    </w:p>
    <w:p w:rsidR="00614C78" w:rsidRDefault="00614C78" w:rsidP="006A4446">
      <w:pPr>
        <w:spacing w:after="0" w:line="24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 xml:space="preserve">§ 2º A taxa incidirá individualmente para cada estabelecimento distinto. </w:t>
      </w:r>
    </w:p>
    <w:p w:rsidR="004D0A82" w:rsidRPr="004D0A82" w:rsidRDefault="004D0A82" w:rsidP="006A4446">
      <w:pPr>
        <w:spacing w:after="0" w:line="240" w:lineRule="auto"/>
        <w:ind w:firstLine="851"/>
        <w:jc w:val="both"/>
        <w:rPr>
          <w:rFonts w:ascii="Times New Roman" w:hAnsi="Times New Roman" w:cs="Times New Roman"/>
          <w:sz w:val="24"/>
          <w:szCs w:val="24"/>
        </w:rPr>
      </w:pPr>
    </w:p>
    <w:p w:rsidR="00614C78" w:rsidRDefault="00614C78" w:rsidP="006A4446">
      <w:pPr>
        <w:spacing w:after="0" w:line="24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 3º O lançamento é feito simultaneamente com a arrecadação, seja ela decorrente de solicitação do contribuinte ou ex</w:t>
      </w:r>
      <w:r w:rsidR="002E3171">
        <w:rPr>
          <w:rFonts w:ascii="Times New Roman" w:hAnsi="Times New Roman" w:cs="Times New Roman"/>
          <w:sz w:val="24"/>
          <w:szCs w:val="24"/>
        </w:rPr>
        <w:t xml:space="preserve"> </w:t>
      </w:r>
      <w:r w:rsidRPr="004D0A82">
        <w:rPr>
          <w:rFonts w:ascii="Times New Roman" w:hAnsi="Times New Roman" w:cs="Times New Roman"/>
          <w:sz w:val="24"/>
          <w:szCs w:val="24"/>
        </w:rPr>
        <w:t>ofício.</w:t>
      </w:r>
    </w:p>
    <w:p w:rsidR="004D0A82" w:rsidRPr="004D0A82" w:rsidRDefault="004D0A82" w:rsidP="006A4446">
      <w:pPr>
        <w:spacing w:after="0" w:line="240" w:lineRule="auto"/>
        <w:ind w:firstLine="851"/>
        <w:jc w:val="both"/>
        <w:rPr>
          <w:rFonts w:ascii="Times New Roman" w:hAnsi="Times New Roman" w:cs="Times New Roman"/>
          <w:sz w:val="24"/>
          <w:szCs w:val="24"/>
        </w:rPr>
      </w:pPr>
    </w:p>
    <w:p w:rsidR="00614C78" w:rsidRDefault="00614C78" w:rsidP="006A4446">
      <w:pPr>
        <w:spacing w:after="0" w:line="24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 xml:space="preserve">§ 4º Em relação aos ambulantes e atividades similares, o lançamento será feito de acordo a Tabela III, segundo o período licenciado (dia, mês ou ano), simultaneamente com a arrecadação, no momento da concessão do Alvará e, quando o licenciamento for superior a 10 (dez) dias, será lançada a correspondente Taxa pelo seu valor anual. </w:t>
      </w:r>
    </w:p>
    <w:p w:rsidR="004D0A82" w:rsidRPr="004D0A82" w:rsidRDefault="004D0A82" w:rsidP="006A4446">
      <w:pPr>
        <w:spacing w:after="0" w:line="240" w:lineRule="auto"/>
        <w:ind w:firstLine="851"/>
        <w:jc w:val="both"/>
        <w:rPr>
          <w:rFonts w:ascii="Times New Roman" w:hAnsi="Times New Roman" w:cs="Times New Roman"/>
          <w:sz w:val="24"/>
          <w:szCs w:val="24"/>
        </w:rPr>
      </w:pPr>
    </w:p>
    <w:p w:rsidR="00016242" w:rsidRPr="004D0A82" w:rsidRDefault="00016242" w:rsidP="006A4446">
      <w:pPr>
        <w:spacing w:after="0" w:line="240" w:lineRule="auto"/>
        <w:ind w:firstLine="851"/>
        <w:jc w:val="both"/>
        <w:rPr>
          <w:rFonts w:ascii="Times New Roman" w:eastAsia="Times New Roman" w:hAnsi="Times New Roman" w:cs="Times New Roman"/>
          <w:sz w:val="24"/>
          <w:szCs w:val="24"/>
        </w:rPr>
      </w:pPr>
      <w:r w:rsidRPr="004D0A82">
        <w:rPr>
          <w:rFonts w:ascii="Times New Roman" w:eastAsia="Times New Roman" w:hAnsi="Times New Roman" w:cs="Times New Roman"/>
          <w:bCs/>
          <w:sz w:val="24"/>
          <w:szCs w:val="24"/>
        </w:rPr>
        <w:t>§ 5º</w:t>
      </w:r>
      <w:r w:rsidRPr="004D0A82">
        <w:rPr>
          <w:rFonts w:ascii="Times New Roman" w:eastAsia="Times New Roman" w:hAnsi="Times New Roman" w:cs="Times New Roman"/>
          <w:b/>
          <w:bCs/>
          <w:sz w:val="24"/>
          <w:szCs w:val="24"/>
        </w:rPr>
        <w:t xml:space="preserve"> </w:t>
      </w:r>
      <w:r w:rsidRPr="004D0A82">
        <w:rPr>
          <w:rFonts w:ascii="Times New Roman" w:eastAsia="Times New Roman" w:hAnsi="Times New Roman" w:cs="Times New Roman"/>
          <w:sz w:val="24"/>
          <w:szCs w:val="24"/>
        </w:rPr>
        <w:t>Os estabelecimentos que já possuem o Alvará de Localização e Funcionamento, não se eximem d</w:t>
      </w:r>
      <w:r w:rsidR="00525512" w:rsidRPr="004D0A82">
        <w:rPr>
          <w:rFonts w:ascii="Times New Roman" w:eastAsia="Times New Roman" w:hAnsi="Times New Roman" w:cs="Times New Roman"/>
          <w:sz w:val="24"/>
          <w:szCs w:val="24"/>
        </w:rPr>
        <w:t>o pagamento</w:t>
      </w:r>
      <w:r w:rsidRPr="004D0A82">
        <w:rPr>
          <w:rFonts w:ascii="Times New Roman" w:eastAsia="Times New Roman" w:hAnsi="Times New Roman" w:cs="Times New Roman"/>
          <w:sz w:val="24"/>
          <w:szCs w:val="24"/>
        </w:rPr>
        <w:t xml:space="preserve"> da licença, no prazo referido no caput deste artigo.</w:t>
      </w:r>
      <w:r w:rsidR="00A75EB1" w:rsidRPr="004D0A82">
        <w:rPr>
          <w:rFonts w:ascii="Times New Roman" w:eastAsia="Times New Roman" w:hAnsi="Times New Roman" w:cs="Times New Roman"/>
          <w:sz w:val="24"/>
          <w:szCs w:val="24"/>
        </w:rPr>
        <w:t>” (NR)</w:t>
      </w:r>
    </w:p>
    <w:p w:rsidR="00614C78" w:rsidRPr="004D0A82" w:rsidRDefault="00614C78" w:rsidP="006A4446">
      <w:pPr>
        <w:spacing w:after="0" w:line="240" w:lineRule="auto"/>
        <w:ind w:firstLine="851"/>
        <w:jc w:val="both"/>
        <w:rPr>
          <w:rFonts w:ascii="Times New Roman" w:eastAsia="Times New Roman" w:hAnsi="Times New Roman" w:cs="Times New Roman"/>
          <w:i/>
          <w:sz w:val="24"/>
          <w:szCs w:val="24"/>
        </w:rPr>
      </w:pPr>
    </w:p>
    <w:p w:rsidR="00706402" w:rsidRPr="004D0A82" w:rsidRDefault="00A33707" w:rsidP="006A4446">
      <w:pPr>
        <w:spacing w:after="0" w:line="240" w:lineRule="auto"/>
        <w:ind w:firstLine="851"/>
        <w:rPr>
          <w:rFonts w:ascii="Times New Roman" w:hAnsi="Times New Roman" w:cs="Times New Roman"/>
          <w:bCs/>
          <w:sz w:val="24"/>
          <w:szCs w:val="24"/>
        </w:rPr>
      </w:pPr>
      <w:r w:rsidRPr="004D0A82">
        <w:rPr>
          <w:rFonts w:ascii="Times New Roman" w:hAnsi="Times New Roman" w:cs="Times New Roman"/>
          <w:bCs/>
          <w:sz w:val="24"/>
          <w:szCs w:val="24"/>
        </w:rPr>
        <w:t xml:space="preserve">Art. </w:t>
      </w:r>
      <w:r w:rsidR="00DB136C" w:rsidRPr="004D0A82">
        <w:rPr>
          <w:rFonts w:ascii="Times New Roman" w:hAnsi="Times New Roman" w:cs="Times New Roman"/>
          <w:bCs/>
          <w:sz w:val="24"/>
          <w:szCs w:val="24"/>
        </w:rPr>
        <w:t>5</w:t>
      </w:r>
      <w:r w:rsidR="00706402" w:rsidRPr="004D0A82">
        <w:rPr>
          <w:rFonts w:ascii="Times New Roman" w:hAnsi="Times New Roman" w:cs="Times New Roman"/>
          <w:bCs/>
          <w:sz w:val="24"/>
          <w:szCs w:val="24"/>
        </w:rPr>
        <w:t>º</w:t>
      </w:r>
      <w:r w:rsidR="00A75EB1" w:rsidRPr="004D0A82">
        <w:rPr>
          <w:rFonts w:ascii="Times New Roman" w:hAnsi="Times New Roman" w:cs="Times New Roman"/>
          <w:bCs/>
          <w:sz w:val="24"/>
          <w:szCs w:val="24"/>
        </w:rPr>
        <w:t xml:space="preserve"> </w:t>
      </w:r>
      <w:r w:rsidRPr="004D0A82">
        <w:rPr>
          <w:rFonts w:ascii="Times New Roman" w:hAnsi="Times New Roman" w:cs="Times New Roman"/>
          <w:bCs/>
          <w:sz w:val="24"/>
          <w:szCs w:val="24"/>
        </w:rPr>
        <w:t>Esta lei</w:t>
      </w:r>
      <w:r w:rsidR="00A75EB1" w:rsidRPr="004D0A82">
        <w:rPr>
          <w:rFonts w:ascii="Times New Roman" w:hAnsi="Times New Roman" w:cs="Times New Roman"/>
          <w:bCs/>
          <w:sz w:val="24"/>
          <w:szCs w:val="24"/>
        </w:rPr>
        <w:t xml:space="preserve"> complementar </w:t>
      </w:r>
      <w:r w:rsidRPr="004D0A82">
        <w:rPr>
          <w:rFonts w:ascii="Times New Roman" w:hAnsi="Times New Roman" w:cs="Times New Roman"/>
          <w:bCs/>
          <w:sz w:val="24"/>
          <w:szCs w:val="24"/>
        </w:rPr>
        <w:t>entra</w:t>
      </w:r>
      <w:r w:rsidR="00706402" w:rsidRPr="004D0A82">
        <w:rPr>
          <w:rFonts w:ascii="Times New Roman" w:hAnsi="Times New Roman" w:cs="Times New Roman"/>
          <w:bCs/>
          <w:sz w:val="24"/>
          <w:szCs w:val="24"/>
        </w:rPr>
        <w:t xml:space="preserve"> em vigor na data de sua publicaçã</w:t>
      </w:r>
      <w:r w:rsidR="002F3A74" w:rsidRPr="004D0A82">
        <w:rPr>
          <w:rFonts w:ascii="Times New Roman" w:hAnsi="Times New Roman" w:cs="Times New Roman"/>
          <w:bCs/>
          <w:sz w:val="24"/>
          <w:szCs w:val="24"/>
        </w:rPr>
        <w:t>o.</w:t>
      </w:r>
    </w:p>
    <w:p w:rsidR="00A75EB1" w:rsidRPr="004D0A82" w:rsidRDefault="00A75EB1" w:rsidP="00A75EB1">
      <w:pPr>
        <w:spacing w:after="0"/>
        <w:ind w:firstLine="1418"/>
        <w:rPr>
          <w:rFonts w:ascii="Times New Roman" w:hAnsi="Times New Roman" w:cs="Times New Roman"/>
          <w:bCs/>
          <w:sz w:val="24"/>
          <w:szCs w:val="24"/>
        </w:rPr>
      </w:pPr>
    </w:p>
    <w:p w:rsidR="004D0A82" w:rsidRPr="001B4550" w:rsidRDefault="004D0A82" w:rsidP="006A4446">
      <w:pPr>
        <w:spacing w:after="0" w:line="240" w:lineRule="auto"/>
        <w:ind w:firstLine="851"/>
        <w:jc w:val="both"/>
        <w:rPr>
          <w:rFonts w:ascii="Times New Roman" w:hAnsi="Times New Roman"/>
          <w:sz w:val="24"/>
          <w:szCs w:val="24"/>
        </w:rPr>
      </w:pPr>
      <w:r w:rsidRPr="001B4550">
        <w:rPr>
          <w:rFonts w:ascii="Times New Roman" w:hAnsi="Times New Roman"/>
          <w:sz w:val="24"/>
          <w:szCs w:val="24"/>
        </w:rPr>
        <w:t xml:space="preserve">Gabinete do Prefeito Municipal de Frederico Westphalen, </w:t>
      </w:r>
      <w:r>
        <w:rPr>
          <w:rFonts w:ascii="Times New Roman" w:hAnsi="Times New Roman"/>
          <w:sz w:val="24"/>
          <w:szCs w:val="24"/>
        </w:rPr>
        <w:t>aos oito dias do mês de</w:t>
      </w:r>
      <w:r w:rsidRPr="001B4550">
        <w:rPr>
          <w:rFonts w:ascii="Times New Roman" w:hAnsi="Times New Roman"/>
          <w:sz w:val="24"/>
          <w:szCs w:val="24"/>
        </w:rPr>
        <w:t xml:space="preserve"> </w:t>
      </w:r>
      <w:r>
        <w:rPr>
          <w:rFonts w:ascii="Times New Roman" w:hAnsi="Times New Roman"/>
          <w:sz w:val="24"/>
          <w:szCs w:val="24"/>
        </w:rPr>
        <w:t>abril</w:t>
      </w:r>
      <w:r w:rsidRPr="001B4550">
        <w:rPr>
          <w:rFonts w:ascii="Times New Roman" w:hAnsi="Times New Roman"/>
          <w:sz w:val="24"/>
          <w:szCs w:val="24"/>
        </w:rPr>
        <w:t xml:space="preserve"> de </w:t>
      </w:r>
      <w:r>
        <w:rPr>
          <w:rFonts w:ascii="Times New Roman" w:hAnsi="Times New Roman"/>
          <w:sz w:val="24"/>
          <w:szCs w:val="24"/>
        </w:rPr>
        <w:t>dois mil e dezenove.</w:t>
      </w:r>
    </w:p>
    <w:p w:rsidR="006A4446" w:rsidRDefault="006A4446" w:rsidP="004D0A82">
      <w:pPr>
        <w:spacing w:after="0"/>
        <w:jc w:val="center"/>
        <w:rPr>
          <w:rFonts w:ascii="Times New Roman" w:hAnsi="Times New Roman" w:cs="Times New Roman"/>
          <w:sz w:val="24"/>
          <w:szCs w:val="24"/>
        </w:rPr>
      </w:pPr>
    </w:p>
    <w:p w:rsidR="008B18D2" w:rsidRPr="004D0A82" w:rsidRDefault="008B18D2" w:rsidP="004D0A82">
      <w:pPr>
        <w:spacing w:after="0"/>
        <w:jc w:val="center"/>
        <w:rPr>
          <w:rFonts w:ascii="Times New Roman" w:hAnsi="Times New Roman" w:cs="Times New Roman"/>
          <w:sz w:val="24"/>
          <w:szCs w:val="24"/>
        </w:rPr>
      </w:pPr>
      <w:r w:rsidRPr="004D0A82">
        <w:rPr>
          <w:rFonts w:ascii="Times New Roman" w:hAnsi="Times New Roman" w:cs="Times New Roman"/>
          <w:sz w:val="24"/>
          <w:szCs w:val="24"/>
        </w:rPr>
        <w:t>______________________________</w:t>
      </w:r>
    </w:p>
    <w:p w:rsidR="008B18D2" w:rsidRPr="004D0A82" w:rsidRDefault="008B18D2" w:rsidP="004D0A82">
      <w:pPr>
        <w:spacing w:after="0"/>
        <w:jc w:val="center"/>
        <w:rPr>
          <w:rFonts w:ascii="Times New Roman" w:hAnsi="Times New Roman" w:cs="Times New Roman"/>
          <w:i/>
          <w:sz w:val="24"/>
          <w:szCs w:val="24"/>
        </w:rPr>
      </w:pPr>
      <w:r w:rsidRPr="004D0A82">
        <w:rPr>
          <w:rFonts w:ascii="Times New Roman" w:hAnsi="Times New Roman" w:cs="Times New Roman"/>
          <w:i/>
          <w:sz w:val="24"/>
          <w:szCs w:val="24"/>
        </w:rPr>
        <w:t>JOSÉ ALBERTO PANOSSO</w:t>
      </w:r>
    </w:p>
    <w:p w:rsidR="008B18D2" w:rsidRPr="004D0A82" w:rsidRDefault="008B18D2" w:rsidP="004D0A82">
      <w:pPr>
        <w:spacing w:after="0"/>
        <w:jc w:val="center"/>
        <w:rPr>
          <w:rFonts w:ascii="Times New Roman" w:hAnsi="Times New Roman" w:cs="Times New Roman"/>
          <w:b/>
          <w:i/>
          <w:sz w:val="24"/>
          <w:szCs w:val="24"/>
        </w:rPr>
      </w:pPr>
      <w:r w:rsidRPr="004D0A82">
        <w:rPr>
          <w:rFonts w:ascii="Times New Roman" w:hAnsi="Times New Roman" w:cs="Times New Roman"/>
          <w:b/>
          <w:i/>
          <w:sz w:val="24"/>
          <w:szCs w:val="24"/>
        </w:rPr>
        <w:t>Prefeito Municipal</w:t>
      </w:r>
    </w:p>
    <w:p w:rsidR="008B18D2" w:rsidRPr="004D0A82" w:rsidRDefault="008B18D2" w:rsidP="008B18D2">
      <w:pPr>
        <w:jc w:val="both"/>
        <w:rPr>
          <w:rFonts w:ascii="Times New Roman" w:hAnsi="Times New Roman" w:cs="Times New Roman"/>
          <w:sz w:val="24"/>
          <w:szCs w:val="24"/>
        </w:rPr>
      </w:pPr>
    </w:p>
    <w:p w:rsidR="008B18D2" w:rsidRPr="004D0A82" w:rsidRDefault="006A4446" w:rsidP="006A4446">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8B18D2" w:rsidRPr="004D0A82" w:rsidRDefault="008B18D2" w:rsidP="006A4446">
      <w:pPr>
        <w:spacing w:after="0"/>
        <w:jc w:val="both"/>
        <w:rPr>
          <w:rFonts w:ascii="Times New Roman" w:hAnsi="Times New Roman" w:cs="Times New Roman"/>
          <w:i/>
          <w:sz w:val="24"/>
          <w:szCs w:val="24"/>
        </w:rPr>
      </w:pPr>
      <w:r w:rsidRPr="004D0A82">
        <w:rPr>
          <w:rFonts w:ascii="Times New Roman" w:hAnsi="Times New Roman" w:cs="Times New Roman"/>
          <w:i/>
          <w:sz w:val="24"/>
          <w:szCs w:val="24"/>
        </w:rPr>
        <w:t>LUIZ PAULO GOMES FRANKEN</w:t>
      </w:r>
      <w:r w:rsidR="006A4446">
        <w:rPr>
          <w:rFonts w:ascii="Times New Roman" w:hAnsi="Times New Roman" w:cs="Times New Roman"/>
          <w:i/>
          <w:sz w:val="24"/>
          <w:szCs w:val="24"/>
        </w:rPr>
        <w:tab/>
      </w:r>
      <w:r w:rsidR="006A4446">
        <w:rPr>
          <w:rFonts w:ascii="Times New Roman" w:hAnsi="Times New Roman" w:cs="Times New Roman"/>
          <w:i/>
          <w:sz w:val="24"/>
          <w:szCs w:val="24"/>
        </w:rPr>
        <w:tab/>
      </w:r>
      <w:r w:rsidR="006A4446">
        <w:rPr>
          <w:rFonts w:ascii="Times New Roman" w:hAnsi="Times New Roman" w:cs="Times New Roman"/>
          <w:i/>
          <w:sz w:val="24"/>
          <w:szCs w:val="24"/>
        </w:rPr>
        <w:tab/>
      </w:r>
      <w:r w:rsidR="006A4446">
        <w:rPr>
          <w:rFonts w:ascii="Times New Roman" w:hAnsi="Times New Roman" w:cs="Times New Roman"/>
          <w:i/>
          <w:sz w:val="24"/>
          <w:szCs w:val="24"/>
        </w:rPr>
        <w:tab/>
        <w:t>SIMONE T. DUARTI DA SILVA</w:t>
      </w:r>
    </w:p>
    <w:p w:rsidR="008B18D2" w:rsidRPr="004D0A82" w:rsidRDefault="008B18D2" w:rsidP="006A4446">
      <w:pPr>
        <w:spacing w:after="0"/>
        <w:jc w:val="both"/>
        <w:rPr>
          <w:rFonts w:ascii="Times New Roman" w:hAnsi="Times New Roman" w:cs="Times New Roman"/>
          <w:b/>
          <w:i/>
          <w:sz w:val="24"/>
          <w:szCs w:val="24"/>
        </w:rPr>
      </w:pPr>
      <w:r w:rsidRPr="004D0A82">
        <w:rPr>
          <w:rFonts w:ascii="Times New Roman" w:hAnsi="Times New Roman" w:cs="Times New Roman"/>
          <w:b/>
          <w:i/>
          <w:sz w:val="24"/>
          <w:szCs w:val="24"/>
        </w:rPr>
        <w:t>Sec. Mun. da Administração</w:t>
      </w:r>
      <w:r w:rsidR="006A4446">
        <w:rPr>
          <w:rFonts w:ascii="Times New Roman" w:hAnsi="Times New Roman" w:cs="Times New Roman"/>
          <w:b/>
          <w:i/>
          <w:sz w:val="24"/>
          <w:szCs w:val="24"/>
        </w:rPr>
        <w:tab/>
      </w:r>
      <w:r w:rsidR="006A4446">
        <w:rPr>
          <w:rFonts w:ascii="Times New Roman" w:hAnsi="Times New Roman" w:cs="Times New Roman"/>
          <w:b/>
          <w:i/>
          <w:sz w:val="24"/>
          <w:szCs w:val="24"/>
        </w:rPr>
        <w:tab/>
      </w:r>
      <w:r w:rsidR="006A4446">
        <w:rPr>
          <w:rFonts w:ascii="Times New Roman" w:hAnsi="Times New Roman" w:cs="Times New Roman"/>
          <w:b/>
          <w:i/>
          <w:sz w:val="24"/>
          <w:szCs w:val="24"/>
        </w:rPr>
        <w:tab/>
      </w:r>
      <w:r w:rsidR="006A4446">
        <w:rPr>
          <w:rFonts w:ascii="Times New Roman" w:hAnsi="Times New Roman" w:cs="Times New Roman"/>
          <w:b/>
          <w:i/>
          <w:sz w:val="24"/>
          <w:szCs w:val="24"/>
        </w:rPr>
        <w:tab/>
      </w:r>
      <w:r w:rsidR="006A4446">
        <w:rPr>
          <w:rFonts w:ascii="Times New Roman" w:hAnsi="Times New Roman" w:cs="Times New Roman"/>
          <w:b/>
          <w:i/>
          <w:sz w:val="24"/>
          <w:szCs w:val="24"/>
        </w:rPr>
        <w:tab/>
        <w:t>Sec. Mun. da Fazenda</w:t>
      </w:r>
    </w:p>
    <w:p w:rsidR="008B18D2" w:rsidRPr="004D0A82" w:rsidRDefault="008B18D2" w:rsidP="006A4446">
      <w:pPr>
        <w:spacing w:after="0"/>
        <w:jc w:val="both"/>
        <w:rPr>
          <w:rFonts w:ascii="Times New Roman" w:hAnsi="Times New Roman" w:cs="Times New Roman"/>
          <w:sz w:val="24"/>
          <w:szCs w:val="24"/>
        </w:rPr>
      </w:pPr>
    </w:p>
    <w:p w:rsidR="008B18D2" w:rsidRDefault="008B18D2" w:rsidP="006265C5">
      <w:pPr>
        <w:spacing w:after="0" w:line="240" w:lineRule="auto"/>
        <w:ind w:firstLine="1418"/>
        <w:rPr>
          <w:rFonts w:ascii="Times New Roman" w:hAnsi="Times New Roman" w:cs="Times New Roman"/>
          <w:bCs/>
          <w:sz w:val="24"/>
          <w:szCs w:val="24"/>
        </w:rPr>
      </w:pPr>
    </w:p>
    <w:p w:rsidR="00E36A4D" w:rsidRDefault="00E36A4D" w:rsidP="00BA44BD">
      <w:pPr>
        <w:spacing w:line="240" w:lineRule="auto"/>
        <w:jc w:val="both"/>
        <w:rPr>
          <w:rFonts w:ascii="Times New Roman" w:hAnsi="Times New Roman"/>
          <w:b/>
          <w:sz w:val="24"/>
          <w:szCs w:val="24"/>
        </w:rPr>
      </w:pPr>
    </w:p>
    <w:p w:rsidR="00BA44BD" w:rsidRPr="001B4550" w:rsidRDefault="00BA44BD" w:rsidP="00BA44BD">
      <w:pPr>
        <w:spacing w:line="240" w:lineRule="auto"/>
        <w:jc w:val="both"/>
        <w:rPr>
          <w:rFonts w:ascii="Times New Roman" w:hAnsi="Times New Roman"/>
          <w:sz w:val="24"/>
          <w:szCs w:val="24"/>
        </w:rPr>
      </w:pPr>
      <w:r w:rsidRPr="00B150A9">
        <w:rPr>
          <w:rFonts w:ascii="Times New Roman" w:hAnsi="Times New Roman"/>
          <w:b/>
          <w:sz w:val="24"/>
          <w:szCs w:val="24"/>
        </w:rPr>
        <w:t xml:space="preserve">Ofício nº </w:t>
      </w:r>
      <w:r>
        <w:rPr>
          <w:rFonts w:ascii="Times New Roman" w:hAnsi="Times New Roman"/>
          <w:b/>
          <w:sz w:val="24"/>
          <w:szCs w:val="24"/>
        </w:rPr>
        <w:t>340</w:t>
      </w:r>
      <w:r w:rsidRPr="00B150A9">
        <w:rPr>
          <w:rFonts w:ascii="Times New Roman" w:hAnsi="Times New Roman"/>
          <w:b/>
          <w:sz w:val="24"/>
          <w:szCs w:val="24"/>
        </w:rPr>
        <w:t>/201</w:t>
      </w:r>
      <w:r>
        <w:rPr>
          <w:rFonts w:ascii="Times New Roman" w:hAnsi="Times New Roman"/>
          <w:b/>
          <w:sz w:val="24"/>
          <w:szCs w:val="24"/>
        </w:rPr>
        <w:t>9</w:t>
      </w:r>
      <w:r w:rsidRPr="00B150A9">
        <w:rPr>
          <w:rFonts w:ascii="Times New Roman" w:hAnsi="Times New Roman"/>
          <w:b/>
          <w:sz w:val="24"/>
          <w:szCs w:val="24"/>
        </w:rPr>
        <w:t xml:space="preserve"> GAB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B4550">
        <w:rPr>
          <w:rFonts w:ascii="Times New Roman" w:hAnsi="Times New Roman"/>
          <w:sz w:val="24"/>
          <w:szCs w:val="24"/>
        </w:rPr>
        <w:t xml:space="preserve">Frederico Westphalen, </w:t>
      </w:r>
      <w:r>
        <w:rPr>
          <w:rFonts w:ascii="Times New Roman" w:hAnsi="Times New Roman"/>
          <w:sz w:val="24"/>
          <w:szCs w:val="24"/>
        </w:rPr>
        <w:t>08</w:t>
      </w:r>
      <w:r w:rsidRPr="001B4550">
        <w:rPr>
          <w:rFonts w:ascii="Times New Roman" w:hAnsi="Times New Roman"/>
          <w:sz w:val="24"/>
          <w:szCs w:val="24"/>
        </w:rPr>
        <w:t xml:space="preserve"> de </w:t>
      </w:r>
      <w:r>
        <w:rPr>
          <w:rFonts w:ascii="Times New Roman" w:hAnsi="Times New Roman"/>
          <w:sz w:val="24"/>
          <w:szCs w:val="24"/>
        </w:rPr>
        <w:t>abril</w:t>
      </w:r>
      <w:r w:rsidRPr="001B4550">
        <w:rPr>
          <w:rFonts w:ascii="Times New Roman" w:hAnsi="Times New Roman"/>
          <w:sz w:val="24"/>
          <w:szCs w:val="24"/>
        </w:rPr>
        <w:t xml:space="preserve"> de 201</w:t>
      </w:r>
      <w:r>
        <w:rPr>
          <w:rFonts w:ascii="Times New Roman" w:hAnsi="Times New Roman"/>
          <w:sz w:val="24"/>
          <w:szCs w:val="24"/>
        </w:rPr>
        <w:t>9.</w:t>
      </w:r>
    </w:p>
    <w:p w:rsidR="00E36A4D" w:rsidRDefault="00E36A4D" w:rsidP="00BA44BD">
      <w:pPr>
        <w:spacing w:line="240" w:lineRule="auto"/>
        <w:rPr>
          <w:rFonts w:ascii="Times New Roman" w:hAnsi="Times New Roman"/>
          <w:b/>
          <w:sz w:val="24"/>
          <w:szCs w:val="24"/>
        </w:rPr>
      </w:pPr>
    </w:p>
    <w:p w:rsidR="00BA44BD" w:rsidRDefault="00BA44BD" w:rsidP="00BA44BD">
      <w:pPr>
        <w:spacing w:line="240" w:lineRule="auto"/>
        <w:rPr>
          <w:rFonts w:ascii="Times New Roman" w:hAnsi="Times New Roman"/>
          <w:b/>
          <w:sz w:val="24"/>
          <w:szCs w:val="24"/>
        </w:rPr>
      </w:pPr>
      <w:r w:rsidRPr="007D19B6">
        <w:rPr>
          <w:rFonts w:ascii="Times New Roman" w:hAnsi="Times New Roman"/>
          <w:b/>
          <w:sz w:val="24"/>
          <w:szCs w:val="24"/>
        </w:rPr>
        <w:t>EXPOSIÇÃO DE MOTIVOS</w:t>
      </w:r>
    </w:p>
    <w:p w:rsidR="00E36A4D" w:rsidRDefault="00E36A4D" w:rsidP="00E36A4D">
      <w:pPr>
        <w:spacing w:after="0"/>
        <w:ind w:firstLine="851"/>
        <w:jc w:val="both"/>
        <w:rPr>
          <w:rFonts w:ascii="Times New Roman" w:hAnsi="Times New Roman" w:cs="Times New Roman"/>
          <w:sz w:val="24"/>
          <w:szCs w:val="24"/>
        </w:rPr>
      </w:pPr>
    </w:p>
    <w:p w:rsidR="00BA44BD" w:rsidRPr="004D0A82" w:rsidRDefault="00BA44BD" w:rsidP="00E36A4D">
      <w:pPr>
        <w:spacing w:after="0" w:line="360" w:lineRule="auto"/>
        <w:ind w:firstLine="851"/>
        <w:jc w:val="both"/>
        <w:rPr>
          <w:rFonts w:ascii="Times New Roman" w:hAnsi="Times New Roman" w:cs="Times New Roman"/>
          <w:b/>
          <w:bCs/>
          <w:sz w:val="24"/>
          <w:szCs w:val="24"/>
        </w:rPr>
      </w:pPr>
      <w:r w:rsidRPr="004D0A82">
        <w:rPr>
          <w:rFonts w:ascii="Times New Roman" w:hAnsi="Times New Roman" w:cs="Times New Roman"/>
          <w:sz w:val="24"/>
          <w:szCs w:val="24"/>
        </w:rPr>
        <w:t xml:space="preserve">Ao cumprimentá-los, encaminho para apreciação </w:t>
      </w:r>
      <w:r w:rsidRPr="004D0A82">
        <w:rPr>
          <w:rFonts w:ascii="Times New Roman" w:eastAsia="Arial Unicode MS" w:hAnsi="Times New Roman" w:cs="Times New Roman"/>
          <w:sz w:val="24"/>
          <w:szCs w:val="24"/>
        </w:rPr>
        <w:t xml:space="preserve">dessa Casa Legislativa, o Projeto de Lei em questão que </w:t>
      </w:r>
      <w:r w:rsidRPr="004D0A82">
        <w:rPr>
          <w:rFonts w:ascii="Times New Roman" w:hAnsi="Times New Roman" w:cs="Times New Roman"/>
          <w:sz w:val="24"/>
          <w:szCs w:val="24"/>
        </w:rPr>
        <w:t xml:space="preserve">altera dispositivos da </w:t>
      </w:r>
      <w:r w:rsidRPr="004D0A82">
        <w:rPr>
          <w:rFonts w:ascii="Times New Roman" w:hAnsi="Times New Roman" w:cs="Times New Roman"/>
          <w:b/>
          <w:bCs/>
          <w:sz w:val="24"/>
          <w:szCs w:val="24"/>
        </w:rPr>
        <w:t>Lei Complementar nº 004, de 21 de Dezembro de 2018.</w:t>
      </w:r>
    </w:p>
    <w:p w:rsidR="00BA44BD" w:rsidRPr="004D0A82" w:rsidRDefault="00BA44BD" w:rsidP="00E36A4D">
      <w:pPr>
        <w:spacing w:after="0" w:line="36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Através do setor responsável, verificou-se que nos referidos itens da tabela da Lei em questão algumas descrições e alguns valores em URM, apresentaram erro formal, que resultariam em distorções dos valores a serem cobrados, ficando além dos valores usualmente praticados.</w:t>
      </w:r>
    </w:p>
    <w:p w:rsidR="00BA44BD" w:rsidRPr="004D0A82" w:rsidRDefault="00BA44BD" w:rsidP="00E36A4D">
      <w:pPr>
        <w:spacing w:after="0" w:line="360" w:lineRule="auto"/>
        <w:ind w:firstLine="851"/>
        <w:jc w:val="both"/>
        <w:rPr>
          <w:rFonts w:ascii="Times New Roman" w:eastAsia="Arial Unicode MS" w:hAnsi="Times New Roman" w:cs="Times New Roman"/>
          <w:sz w:val="24"/>
          <w:szCs w:val="24"/>
        </w:rPr>
      </w:pPr>
      <w:r w:rsidRPr="004D0A82">
        <w:rPr>
          <w:rFonts w:ascii="Times New Roman" w:hAnsi="Times New Roman" w:cs="Times New Roman"/>
          <w:sz w:val="24"/>
          <w:szCs w:val="24"/>
        </w:rPr>
        <w:t xml:space="preserve">No item 3 foi alterado a descrição de </w:t>
      </w:r>
      <w:r w:rsidRPr="004D0A82">
        <w:rPr>
          <w:rFonts w:ascii="Times New Roman" w:hAnsi="Times New Roman" w:cs="Times New Roman"/>
          <w:i/>
          <w:sz w:val="24"/>
          <w:szCs w:val="24"/>
        </w:rPr>
        <w:t>“</w:t>
      </w:r>
      <w:r w:rsidRPr="004D0A82">
        <w:rPr>
          <w:rFonts w:ascii="Times New Roman" w:eastAsia="Times New Roman" w:hAnsi="Times New Roman" w:cs="Times New Roman"/>
          <w:i/>
          <w:sz w:val="24"/>
          <w:szCs w:val="24"/>
          <w:lang w:eastAsia="pt-BR"/>
        </w:rPr>
        <w:t>Certidão Predial/averbação”</w:t>
      </w:r>
      <w:r w:rsidRPr="004D0A82">
        <w:rPr>
          <w:rFonts w:ascii="Times New Roman" w:eastAsia="Times New Roman" w:hAnsi="Times New Roman" w:cs="Times New Roman"/>
          <w:sz w:val="24"/>
          <w:szCs w:val="24"/>
          <w:lang w:eastAsia="pt-BR"/>
        </w:rPr>
        <w:t xml:space="preserve"> para </w:t>
      </w:r>
      <w:r w:rsidRPr="004D0A82">
        <w:rPr>
          <w:rFonts w:ascii="Times New Roman" w:eastAsia="Times New Roman" w:hAnsi="Times New Roman" w:cs="Times New Roman"/>
          <w:i/>
          <w:sz w:val="24"/>
          <w:szCs w:val="24"/>
          <w:lang w:eastAsia="pt-BR"/>
        </w:rPr>
        <w:t>”Carta de Habite-se”</w:t>
      </w:r>
      <w:r w:rsidRPr="004D0A82">
        <w:rPr>
          <w:rFonts w:ascii="Times New Roman" w:eastAsia="Times New Roman" w:hAnsi="Times New Roman" w:cs="Times New Roman"/>
          <w:sz w:val="24"/>
          <w:szCs w:val="24"/>
          <w:lang w:eastAsia="pt-BR"/>
        </w:rPr>
        <w:t xml:space="preserve"> e o valor de </w:t>
      </w:r>
      <w:r w:rsidRPr="004D0A82">
        <w:rPr>
          <w:rFonts w:ascii="Times New Roman" w:eastAsia="Times New Roman" w:hAnsi="Times New Roman" w:cs="Times New Roman"/>
          <w:i/>
          <w:sz w:val="24"/>
          <w:szCs w:val="24"/>
          <w:lang w:eastAsia="pt-BR"/>
        </w:rPr>
        <w:t>“0,017”</w:t>
      </w:r>
      <w:r w:rsidRPr="004D0A82">
        <w:rPr>
          <w:rFonts w:ascii="Times New Roman" w:eastAsia="Times New Roman" w:hAnsi="Times New Roman" w:cs="Times New Roman"/>
          <w:sz w:val="24"/>
          <w:szCs w:val="24"/>
          <w:lang w:eastAsia="pt-BR"/>
        </w:rPr>
        <w:t xml:space="preserve"> para </w:t>
      </w:r>
      <w:r w:rsidRPr="004D0A82">
        <w:rPr>
          <w:rFonts w:ascii="Times New Roman" w:eastAsia="Times New Roman" w:hAnsi="Times New Roman" w:cs="Times New Roman"/>
          <w:i/>
          <w:sz w:val="24"/>
          <w:szCs w:val="24"/>
          <w:lang w:eastAsia="pt-BR"/>
        </w:rPr>
        <w:t>“0,0017"</w:t>
      </w:r>
    </w:p>
    <w:p w:rsidR="00BA44BD" w:rsidRDefault="00BA44BD" w:rsidP="00E36A4D">
      <w:pPr>
        <w:spacing w:after="0" w:line="360" w:lineRule="auto"/>
        <w:ind w:firstLine="851"/>
        <w:jc w:val="both"/>
        <w:rPr>
          <w:rFonts w:ascii="Times New Roman" w:eastAsia="Times New Roman" w:hAnsi="Times New Roman" w:cs="Times New Roman"/>
          <w:i/>
          <w:sz w:val="24"/>
          <w:szCs w:val="24"/>
          <w:lang w:eastAsia="pt-BR"/>
        </w:rPr>
      </w:pPr>
      <w:r w:rsidRPr="004D0A82">
        <w:rPr>
          <w:rFonts w:ascii="Times New Roman" w:hAnsi="Times New Roman" w:cs="Times New Roman"/>
          <w:sz w:val="24"/>
          <w:szCs w:val="24"/>
        </w:rPr>
        <w:t xml:space="preserve">No item 7 foi alterado a descrição de </w:t>
      </w:r>
      <w:r w:rsidRPr="004D0A82">
        <w:rPr>
          <w:rFonts w:ascii="Times New Roman" w:eastAsia="Times New Roman" w:hAnsi="Times New Roman" w:cs="Times New Roman"/>
          <w:i/>
          <w:sz w:val="24"/>
          <w:szCs w:val="24"/>
          <w:lang w:eastAsia="pt-BR"/>
        </w:rPr>
        <w:t xml:space="preserve">”Carta de Habite-se” </w:t>
      </w:r>
      <w:r w:rsidRPr="004D0A82">
        <w:rPr>
          <w:rFonts w:ascii="Times New Roman" w:eastAsia="Times New Roman" w:hAnsi="Times New Roman" w:cs="Times New Roman"/>
          <w:sz w:val="24"/>
          <w:szCs w:val="24"/>
          <w:lang w:eastAsia="pt-BR"/>
        </w:rPr>
        <w:t>para</w:t>
      </w:r>
      <w:r w:rsidRPr="004D0A82">
        <w:rPr>
          <w:rFonts w:ascii="Times New Roman" w:hAnsi="Times New Roman" w:cs="Times New Roman"/>
          <w:i/>
          <w:sz w:val="24"/>
          <w:szCs w:val="24"/>
        </w:rPr>
        <w:t>“</w:t>
      </w:r>
      <w:r w:rsidRPr="004D0A82">
        <w:rPr>
          <w:rFonts w:ascii="Times New Roman" w:eastAsia="Times New Roman" w:hAnsi="Times New Roman" w:cs="Times New Roman"/>
          <w:i/>
          <w:sz w:val="24"/>
          <w:szCs w:val="24"/>
          <w:lang w:eastAsia="pt-BR"/>
        </w:rPr>
        <w:t>Certidão Predial/averbação”.</w:t>
      </w:r>
    </w:p>
    <w:p w:rsidR="009E0B50" w:rsidRPr="004D0A82" w:rsidRDefault="009E0B50" w:rsidP="00E36A4D">
      <w:pPr>
        <w:spacing w:after="0" w:line="360" w:lineRule="auto"/>
        <w:ind w:firstLine="851"/>
        <w:jc w:val="both"/>
        <w:rPr>
          <w:rFonts w:ascii="Times New Roman" w:eastAsia="Arial Unicode MS" w:hAnsi="Times New Roman" w:cs="Times New Roman"/>
          <w:sz w:val="24"/>
          <w:szCs w:val="24"/>
        </w:rPr>
      </w:pPr>
      <w:r w:rsidRPr="004D0A82">
        <w:rPr>
          <w:rFonts w:ascii="Times New Roman" w:hAnsi="Times New Roman" w:cs="Times New Roman"/>
          <w:sz w:val="24"/>
          <w:szCs w:val="24"/>
        </w:rPr>
        <w:t>No</w:t>
      </w:r>
      <w:r>
        <w:rPr>
          <w:rFonts w:ascii="Times New Roman" w:hAnsi="Times New Roman" w:cs="Times New Roman"/>
          <w:sz w:val="24"/>
          <w:szCs w:val="24"/>
        </w:rPr>
        <w:t>s</w:t>
      </w:r>
      <w:r w:rsidRPr="004D0A82">
        <w:rPr>
          <w:rFonts w:ascii="Times New Roman" w:hAnsi="Times New Roman" w:cs="Times New Roman"/>
          <w:sz w:val="24"/>
          <w:szCs w:val="24"/>
        </w:rPr>
        <w:t xml:space="preserve"> ite</w:t>
      </w:r>
      <w:r>
        <w:rPr>
          <w:rFonts w:ascii="Times New Roman" w:hAnsi="Times New Roman" w:cs="Times New Roman"/>
          <w:sz w:val="24"/>
          <w:szCs w:val="24"/>
        </w:rPr>
        <w:t>ns</w:t>
      </w:r>
      <w:r w:rsidRPr="004D0A82">
        <w:rPr>
          <w:rFonts w:ascii="Times New Roman" w:hAnsi="Times New Roman" w:cs="Times New Roman"/>
          <w:sz w:val="24"/>
          <w:szCs w:val="24"/>
        </w:rPr>
        <w:t xml:space="preserve"> </w:t>
      </w:r>
      <w:r>
        <w:rPr>
          <w:rFonts w:ascii="Times New Roman" w:hAnsi="Times New Roman" w:cs="Times New Roman"/>
          <w:sz w:val="24"/>
          <w:szCs w:val="24"/>
        </w:rPr>
        <w:t>8.01 e 8.02</w:t>
      </w:r>
      <w:r w:rsidRPr="004D0A82">
        <w:rPr>
          <w:rFonts w:ascii="Times New Roman" w:hAnsi="Times New Roman" w:cs="Times New Roman"/>
          <w:sz w:val="24"/>
          <w:szCs w:val="24"/>
        </w:rPr>
        <w:t xml:space="preserve"> foi alterad</w:t>
      </w:r>
      <w:r>
        <w:rPr>
          <w:rFonts w:ascii="Times New Roman" w:hAnsi="Times New Roman" w:cs="Times New Roman"/>
          <w:sz w:val="24"/>
          <w:szCs w:val="24"/>
        </w:rPr>
        <w:t>a a alíquota de 3% para 2%, referente ao ISS para serviços de educação, ensino</w:t>
      </w:r>
      <w:r w:rsidR="00882180">
        <w:rPr>
          <w:rFonts w:ascii="Times New Roman" w:hAnsi="Times New Roman" w:cs="Times New Roman"/>
          <w:sz w:val="24"/>
          <w:szCs w:val="24"/>
        </w:rPr>
        <w:t xml:space="preserve"> superior</w:t>
      </w:r>
      <w:r>
        <w:rPr>
          <w:rFonts w:ascii="Times New Roman" w:hAnsi="Times New Roman" w:cs="Times New Roman"/>
          <w:sz w:val="24"/>
          <w:szCs w:val="24"/>
        </w:rPr>
        <w:t>, orientação pedagógica e educacional, instrução, treinamento e avaliação pessoal de qualquer grau ou natureza.</w:t>
      </w:r>
    </w:p>
    <w:p w:rsidR="00BA44BD" w:rsidRPr="004D0A82" w:rsidRDefault="00BA44BD" w:rsidP="00E36A4D">
      <w:pPr>
        <w:spacing w:after="0" w:line="36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Nos itens 12, 13, 14 e 15 foi acrescida na descrição a palavra “Multifamiliar”.</w:t>
      </w:r>
    </w:p>
    <w:p w:rsidR="00BA44BD" w:rsidRDefault="00BA44BD" w:rsidP="00E36A4D">
      <w:pPr>
        <w:spacing w:after="0" w:line="360" w:lineRule="auto"/>
        <w:ind w:firstLine="851"/>
        <w:jc w:val="both"/>
        <w:rPr>
          <w:rFonts w:ascii="Times New Roman" w:eastAsia="Times New Roman" w:hAnsi="Times New Roman" w:cs="Times New Roman"/>
          <w:sz w:val="24"/>
          <w:szCs w:val="24"/>
          <w:lang w:eastAsia="pt-BR"/>
        </w:rPr>
      </w:pPr>
      <w:r w:rsidRPr="004D0A82">
        <w:rPr>
          <w:rFonts w:ascii="Times New Roman" w:hAnsi="Times New Roman" w:cs="Times New Roman"/>
          <w:sz w:val="24"/>
          <w:szCs w:val="24"/>
        </w:rPr>
        <w:t>No item 20 foi alterada a metragem de “5.000</w:t>
      </w:r>
      <w:r w:rsidRPr="004D0A82">
        <w:rPr>
          <w:rFonts w:ascii="Times New Roman" w:eastAsia="Times New Roman" w:hAnsi="Times New Roman" w:cs="Times New Roman"/>
          <w:sz w:val="24"/>
          <w:szCs w:val="24"/>
          <w:lang w:eastAsia="pt-BR"/>
        </w:rPr>
        <w:t xml:space="preserve"> m²”</w:t>
      </w:r>
      <w:r w:rsidRPr="004D0A82">
        <w:rPr>
          <w:rFonts w:ascii="Times New Roman" w:hAnsi="Times New Roman" w:cs="Times New Roman"/>
          <w:sz w:val="24"/>
          <w:szCs w:val="24"/>
        </w:rPr>
        <w:t xml:space="preserve"> para “15.000</w:t>
      </w:r>
      <w:r w:rsidRPr="004D0A82">
        <w:rPr>
          <w:rFonts w:ascii="Times New Roman" w:eastAsia="Times New Roman" w:hAnsi="Times New Roman" w:cs="Times New Roman"/>
          <w:sz w:val="24"/>
          <w:szCs w:val="24"/>
          <w:lang w:eastAsia="pt-BR"/>
        </w:rPr>
        <w:t xml:space="preserve"> m²”.</w:t>
      </w:r>
    </w:p>
    <w:p w:rsidR="00BA44BD" w:rsidRDefault="00BA44BD" w:rsidP="00E36A4D">
      <w:pPr>
        <w:spacing w:after="0" w:line="36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Em relação ao disposto no artigo 2º, tal alteração se faz necessária, passando</w:t>
      </w:r>
      <w:r>
        <w:rPr>
          <w:rFonts w:ascii="Times New Roman" w:hAnsi="Times New Roman" w:cs="Times New Roman"/>
          <w:sz w:val="24"/>
          <w:szCs w:val="24"/>
        </w:rPr>
        <w:t xml:space="preserve"> as alíquotas </w:t>
      </w:r>
      <w:r w:rsidRPr="004D0A82">
        <w:rPr>
          <w:rFonts w:ascii="Times New Roman" w:hAnsi="Times New Roman" w:cs="Times New Roman"/>
          <w:sz w:val="24"/>
          <w:szCs w:val="24"/>
        </w:rPr>
        <w:t xml:space="preserve"> de 4% para </w:t>
      </w:r>
      <w:r>
        <w:rPr>
          <w:rFonts w:ascii="Times New Roman" w:hAnsi="Times New Roman" w:cs="Times New Roman"/>
          <w:sz w:val="24"/>
          <w:szCs w:val="24"/>
        </w:rPr>
        <w:t>2</w:t>
      </w:r>
      <w:r w:rsidRPr="004D0A82">
        <w:rPr>
          <w:rFonts w:ascii="Times New Roman" w:hAnsi="Times New Roman" w:cs="Times New Roman"/>
          <w:sz w:val="24"/>
          <w:szCs w:val="24"/>
        </w:rPr>
        <w:t>% por cento</w:t>
      </w:r>
      <w:r>
        <w:rPr>
          <w:rFonts w:ascii="Times New Roman" w:hAnsi="Times New Roman" w:cs="Times New Roman"/>
          <w:sz w:val="24"/>
          <w:szCs w:val="24"/>
        </w:rPr>
        <w:t>, atendendo assim as alíquotas medias para este segmento, praticados pelos municípios da nossa região, para dessa forma evitar a evasão de empresas do âmbito municipal e manter as mesmas competitivas frente aos demais municípios.</w:t>
      </w:r>
    </w:p>
    <w:p w:rsidR="00BA44BD" w:rsidRDefault="00BA44BD" w:rsidP="00E36A4D">
      <w:pPr>
        <w:spacing w:after="0" w:line="360" w:lineRule="auto"/>
        <w:ind w:firstLine="851"/>
        <w:jc w:val="both"/>
        <w:rPr>
          <w:rFonts w:ascii="Times New Roman" w:eastAsia="Times New Roman" w:hAnsi="Times New Roman" w:cs="Times New Roman"/>
          <w:sz w:val="24"/>
          <w:szCs w:val="24"/>
        </w:rPr>
      </w:pPr>
      <w:r w:rsidRPr="004D0A82">
        <w:rPr>
          <w:rFonts w:ascii="Times New Roman" w:hAnsi="Times New Roman" w:cs="Times New Roman"/>
          <w:sz w:val="24"/>
          <w:szCs w:val="24"/>
        </w:rPr>
        <w:t xml:space="preserve">Já em referência aos artigos 3º e 4º, a taxa do alvará será cobrada a cada dois anos, considerando que os valores atualmente estabelecidos pelo novo código tributário apresentaram uma variação considerável para um número significativo de contribuintes, sendo que dessa forma o valor da taxa ocorrerá a cada dois anos, e a </w:t>
      </w:r>
      <w:r w:rsidRPr="004D0A82">
        <w:rPr>
          <w:rFonts w:ascii="Times New Roman" w:eastAsia="Times New Roman" w:hAnsi="Times New Roman" w:cs="Times New Roman"/>
          <w:sz w:val="24"/>
          <w:szCs w:val="24"/>
        </w:rPr>
        <w:t>revalidação permanece anual.</w:t>
      </w:r>
    </w:p>
    <w:p w:rsidR="00BA44BD" w:rsidRPr="004D0A82" w:rsidRDefault="00BA44BD" w:rsidP="00E36A4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fim, para atender as exigências c</w:t>
      </w:r>
      <w:r w:rsidRPr="00331CFE">
        <w:rPr>
          <w:rFonts w:ascii="Times New Roman" w:hAnsi="Times New Roman" w:cs="Times New Roman"/>
          <w:sz w:val="24"/>
          <w:szCs w:val="24"/>
        </w:rPr>
        <w:t xml:space="preserve">ontidas na Lei de </w:t>
      </w:r>
      <w:r>
        <w:rPr>
          <w:rFonts w:ascii="Times New Roman" w:hAnsi="Times New Roman" w:cs="Times New Roman"/>
          <w:sz w:val="24"/>
          <w:szCs w:val="24"/>
        </w:rPr>
        <w:t>re</w:t>
      </w:r>
      <w:r w:rsidRPr="00331CFE">
        <w:rPr>
          <w:rFonts w:ascii="Times New Roman" w:hAnsi="Times New Roman" w:cs="Times New Roman"/>
          <w:sz w:val="24"/>
          <w:szCs w:val="24"/>
        </w:rPr>
        <w:t>sponsabilidade Fiscal</w:t>
      </w:r>
      <w:r>
        <w:rPr>
          <w:rFonts w:ascii="Times New Roman" w:hAnsi="Times New Roman" w:cs="Times New Roman"/>
          <w:sz w:val="24"/>
          <w:szCs w:val="24"/>
        </w:rPr>
        <w:t>, esclarecemos que a presente alteração não caracteriza a ren</w:t>
      </w:r>
      <w:r w:rsidR="009E0B50">
        <w:rPr>
          <w:rFonts w:ascii="Times New Roman" w:hAnsi="Times New Roman" w:cs="Times New Roman"/>
          <w:sz w:val="24"/>
          <w:szCs w:val="24"/>
        </w:rPr>
        <w:t>ú</w:t>
      </w:r>
      <w:r>
        <w:rPr>
          <w:rFonts w:ascii="Times New Roman" w:hAnsi="Times New Roman" w:cs="Times New Roman"/>
          <w:sz w:val="24"/>
          <w:szCs w:val="24"/>
        </w:rPr>
        <w:t>ncia de receita</w:t>
      </w:r>
      <w:r w:rsidR="009E0B50">
        <w:rPr>
          <w:rFonts w:ascii="Times New Roman" w:hAnsi="Times New Roman" w:cs="Times New Roman"/>
          <w:sz w:val="24"/>
          <w:szCs w:val="24"/>
        </w:rPr>
        <w:t xml:space="preserve">, de modo que </w:t>
      </w:r>
      <w:r w:rsidR="009E0B50" w:rsidRPr="00AB3708">
        <w:rPr>
          <w:rFonts w:ascii="Times New Roman" w:hAnsi="Times New Roman" w:cs="Times New Roman"/>
          <w:sz w:val="24"/>
          <w:szCs w:val="24"/>
        </w:rPr>
        <w:t xml:space="preserve">não se mostra necessária </w:t>
      </w:r>
      <w:r w:rsidR="009E0B50">
        <w:rPr>
          <w:rFonts w:ascii="Times New Roman" w:hAnsi="Times New Roman" w:cs="Times New Roman"/>
          <w:sz w:val="24"/>
          <w:szCs w:val="24"/>
        </w:rPr>
        <w:t xml:space="preserve">apresentação dos requisitos do art. 14 da LRF, </w:t>
      </w:r>
      <w:r>
        <w:rPr>
          <w:rFonts w:ascii="Times New Roman" w:hAnsi="Times New Roman" w:cs="Times New Roman"/>
          <w:sz w:val="24"/>
          <w:szCs w:val="24"/>
        </w:rPr>
        <w:t xml:space="preserve">uma vez que na elaboração da proposta do orçamento anual vigente as mesmas foram previstas pelas alíquotas e valores vigentes a época. Não </w:t>
      </w:r>
      <w:r>
        <w:rPr>
          <w:rFonts w:ascii="Times New Roman" w:hAnsi="Times New Roman" w:cs="Times New Roman"/>
          <w:sz w:val="24"/>
          <w:szCs w:val="24"/>
        </w:rPr>
        <w:lastRenderedPageBreak/>
        <w:t>comprometerá as metas fiscais previstas na Lei de Diretrizes Orçamentárias, especialmente quando levado em consideração o incremento da arrecadação e, do fluxo financeiro do caixa do Tesouro para o atual exercício, por conta das alterações de alíquotas do ISS dos demais segmentos quando da aprovação do CTM.</w:t>
      </w:r>
    </w:p>
    <w:p w:rsidR="00BA44BD" w:rsidRDefault="00BA44BD" w:rsidP="00E36A4D">
      <w:pPr>
        <w:spacing w:after="0" w:line="36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Convicto do bom-senso e paciência dos Nobres Edis, solicito aprovação do presente Projeto de Lei, que certamente reverterá em condições mais favoráveis de se prestar um serviço de melhor qualidade a comunidade.</w:t>
      </w:r>
    </w:p>
    <w:p w:rsidR="00BA44BD" w:rsidRDefault="00414CDE" w:rsidP="00E36A4D">
      <w:pPr>
        <w:tabs>
          <w:tab w:val="left" w:pos="3435"/>
        </w:tabs>
        <w:spacing w:after="0"/>
        <w:ind w:firstLine="851"/>
        <w:jc w:val="both"/>
        <w:rPr>
          <w:rFonts w:ascii="Times New Roman" w:hAnsi="Times New Roman" w:cs="Times New Roman"/>
          <w:sz w:val="24"/>
          <w:szCs w:val="24"/>
        </w:rPr>
      </w:pPr>
      <w:r>
        <w:rPr>
          <w:rFonts w:ascii="Times New Roman" w:hAnsi="Times New Roman" w:cs="Times New Roman"/>
          <w:sz w:val="24"/>
          <w:szCs w:val="24"/>
        </w:rPr>
        <w:tab/>
      </w: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E36A4D">
      <w:pPr>
        <w:spacing w:after="0" w:line="240" w:lineRule="auto"/>
        <w:jc w:val="center"/>
        <w:rPr>
          <w:rFonts w:ascii="Times New Roman" w:hAnsi="Times New Roman"/>
          <w:sz w:val="24"/>
          <w:szCs w:val="24"/>
        </w:rPr>
      </w:pPr>
      <w:r>
        <w:rPr>
          <w:rFonts w:ascii="Times New Roman" w:hAnsi="Times New Roman"/>
          <w:sz w:val="24"/>
          <w:szCs w:val="24"/>
        </w:rPr>
        <w:t>________________________________</w:t>
      </w:r>
    </w:p>
    <w:p w:rsidR="00E36A4D" w:rsidRDefault="00E36A4D" w:rsidP="00E36A4D">
      <w:pPr>
        <w:spacing w:after="0" w:line="240" w:lineRule="auto"/>
        <w:jc w:val="center"/>
        <w:rPr>
          <w:rFonts w:ascii="Times New Roman" w:hAnsi="Times New Roman"/>
          <w:i/>
          <w:sz w:val="24"/>
          <w:szCs w:val="24"/>
        </w:rPr>
      </w:pPr>
      <w:r>
        <w:rPr>
          <w:rFonts w:ascii="Times New Roman" w:hAnsi="Times New Roman"/>
          <w:i/>
          <w:sz w:val="24"/>
          <w:szCs w:val="24"/>
        </w:rPr>
        <w:t>JOSÉ ALBERTO PANOSSO</w:t>
      </w:r>
    </w:p>
    <w:p w:rsidR="00E36A4D" w:rsidRPr="00E36A4D" w:rsidRDefault="00E36A4D" w:rsidP="00E36A4D">
      <w:pPr>
        <w:spacing w:after="0" w:line="240" w:lineRule="auto"/>
        <w:jc w:val="center"/>
        <w:rPr>
          <w:rFonts w:ascii="Times New Roman" w:hAnsi="Times New Roman"/>
          <w:b/>
          <w:i/>
          <w:sz w:val="24"/>
          <w:szCs w:val="24"/>
        </w:rPr>
      </w:pPr>
      <w:r>
        <w:rPr>
          <w:rFonts w:ascii="Times New Roman" w:hAnsi="Times New Roman"/>
          <w:b/>
          <w:i/>
          <w:sz w:val="24"/>
          <w:szCs w:val="24"/>
        </w:rPr>
        <w:t>Prefeito Municipal</w:t>
      </w: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E36A4D" w:rsidRDefault="00E36A4D" w:rsidP="00BA44BD">
      <w:pPr>
        <w:spacing w:after="0" w:line="240" w:lineRule="auto"/>
        <w:jc w:val="both"/>
        <w:rPr>
          <w:rFonts w:ascii="Times New Roman" w:hAnsi="Times New Roman"/>
          <w:sz w:val="24"/>
          <w:szCs w:val="24"/>
        </w:rPr>
      </w:pPr>
    </w:p>
    <w:p w:rsidR="00BA44BD" w:rsidRPr="001B4550" w:rsidRDefault="00BA44BD" w:rsidP="00BA44BD">
      <w:pPr>
        <w:spacing w:after="0" w:line="240" w:lineRule="auto"/>
        <w:jc w:val="both"/>
        <w:rPr>
          <w:rFonts w:ascii="Times New Roman" w:hAnsi="Times New Roman"/>
          <w:sz w:val="24"/>
          <w:szCs w:val="24"/>
        </w:rPr>
      </w:pPr>
      <w:r w:rsidRPr="001B4550">
        <w:rPr>
          <w:rFonts w:ascii="Times New Roman" w:hAnsi="Times New Roman"/>
          <w:sz w:val="24"/>
          <w:szCs w:val="24"/>
        </w:rPr>
        <w:t>Exmo. Sr.:</w:t>
      </w:r>
      <w:r w:rsidR="000D6112">
        <w:rPr>
          <w:rFonts w:ascii="Times New Roman" w:hAnsi="Times New Roman"/>
          <w:sz w:val="24"/>
          <w:szCs w:val="24"/>
        </w:rPr>
        <w:tab/>
      </w:r>
      <w:r w:rsidR="000D6112">
        <w:rPr>
          <w:rFonts w:ascii="Times New Roman" w:hAnsi="Times New Roman"/>
          <w:sz w:val="24"/>
          <w:szCs w:val="24"/>
        </w:rPr>
        <w:tab/>
      </w:r>
      <w:r w:rsidR="000D6112">
        <w:rPr>
          <w:rFonts w:ascii="Times New Roman" w:hAnsi="Times New Roman"/>
          <w:sz w:val="24"/>
          <w:szCs w:val="24"/>
        </w:rPr>
        <w:tab/>
      </w:r>
      <w:r w:rsidR="000D6112">
        <w:rPr>
          <w:rFonts w:ascii="Times New Roman" w:hAnsi="Times New Roman"/>
          <w:sz w:val="24"/>
          <w:szCs w:val="24"/>
        </w:rPr>
        <w:tab/>
      </w:r>
      <w:r w:rsidR="000D6112">
        <w:rPr>
          <w:rFonts w:ascii="Times New Roman" w:hAnsi="Times New Roman"/>
          <w:sz w:val="24"/>
          <w:szCs w:val="24"/>
        </w:rPr>
        <w:tab/>
      </w:r>
      <w:r w:rsidR="000D6112">
        <w:rPr>
          <w:rFonts w:ascii="Times New Roman" w:hAnsi="Times New Roman"/>
          <w:sz w:val="24"/>
          <w:szCs w:val="24"/>
        </w:rPr>
        <w:tab/>
      </w:r>
    </w:p>
    <w:p w:rsidR="00BA44BD" w:rsidRPr="00B150A9" w:rsidRDefault="00BA44BD" w:rsidP="00BA44BD">
      <w:pPr>
        <w:spacing w:after="0" w:line="240" w:lineRule="auto"/>
        <w:jc w:val="both"/>
        <w:rPr>
          <w:rFonts w:ascii="Times New Roman" w:hAnsi="Times New Roman"/>
          <w:b/>
          <w:sz w:val="24"/>
          <w:szCs w:val="24"/>
        </w:rPr>
      </w:pPr>
      <w:r>
        <w:rPr>
          <w:rFonts w:ascii="Times New Roman" w:hAnsi="Times New Roman"/>
          <w:b/>
          <w:sz w:val="24"/>
          <w:szCs w:val="24"/>
        </w:rPr>
        <w:t>INÁCIO ROBERTO PANOSSO JÚNIOR</w:t>
      </w:r>
      <w:r w:rsidR="000D6112">
        <w:rPr>
          <w:rFonts w:ascii="Times New Roman" w:hAnsi="Times New Roman"/>
          <w:b/>
          <w:sz w:val="24"/>
          <w:szCs w:val="24"/>
        </w:rPr>
        <w:t xml:space="preserve">                                </w:t>
      </w:r>
    </w:p>
    <w:p w:rsidR="00BA44BD" w:rsidRPr="001B4550" w:rsidRDefault="00BA44BD" w:rsidP="00BA44BD">
      <w:pPr>
        <w:spacing w:after="0" w:line="240" w:lineRule="auto"/>
        <w:jc w:val="both"/>
        <w:rPr>
          <w:rFonts w:ascii="Times New Roman" w:hAnsi="Times New Roman"/>
          <w:sz w:val="24"/>
          <w:szCs w:val="24"/>
        </w:rPr>
      </w:pPr>
      <w:r w:rsidRPr="001B4550">
        <w:rPr>
          <w:rFonts w:ascii="Times New Roman" w:hAnsi="Times New Roman"/>
          <w:sz w:val="24"/>
          <w:szCs w:val="24"/>
        </w:rPr>
        <w:t>Presidente da Câmara Municipal</w:t>
      </w:r>
      <w:r>
        <w:rPr>
          <w:rFonts w:ascii="Times New Roman" w:hAnsi="Times New Roman"/>
          <w:sz w:val="24"/>
          <w:szCs w:val="24"/>
        </w:rPr>
        <w:t xml:space="preserve"> de Vereadores</w:t>
      </w:r>
      <w:r w:rsidR="000D6112">
        <w:rPr>
          <w:rFonts w:ascii="Times New Roman" w:hAnsi="Times New Roman"/>
          <w:sz w:val="24"/>
          <w:szCs w:val="24"/>
        </w:rPr>
        <w:t xml:space="preserve">                                    </w:t>
      </w:r>
    </w:p>
    <w:p w:rsidR="00A33707" w:rsidRPr="00AF31D1" w:rsidRDefault="00BA44BD" w:rsidP="00BA44BD">
      <w:pPr>
        <w:spacing w:after="0" w:line="240" w:lineRule="auto"/>
        <w:jc w:val="both"/>
        <w:rPr>
          <w:rFonts w:ascii="Times New Roman" w:eastAsia="Calibri" w:hAnsi="Times New Roman" w:cs="Times New Roman"/>
          <w:b/>
          <w:sz w:val="24"/>
          <w:szCs w:val="24"/>
        </w:rPr>
      </w:pPr>
      <w:r>
        <w:rPr>
          <w:rFonts w:ascii="Times New Roman" w:hAnsi="Times New Roman"/>
          <w:sz w:val="24"/>
          <w:szCs w:val="24"/>
        </w:rPr>
        <w:t>Frederico Westphalen/RS</w:t>
      </w:r>
    </w:p>
    <w:sectPr w:rsidR="00A33707" w:rsidRPr="00AF31D1" w:rsidSect="004D0A82">
      <w:pgSz w:w="11906" w:h="16838"/>
      <w:pgMar w:top="2552" w:right="849"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250" w:rsidRDefault="00B91250" w:rsidP="00F65F68">
      <w:pPr>
        <w:spacing w:after="0" w:line="240" w:lineRule="auto"/>
      </w:pPr>
      <w:r>
        <w:separator/>
      </w:r>
    </w:p>
  </w:endnote>
  <w:endnote w:type="continuationSeparator" w:id="0">
    <w:p w:rsidR="00B91250" w:rsidRDefault="00B91250" w:rsidP="00F6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250" w:rsidRDefault="00B91250" w:rsidP="00F65F68">
      <w:pPr>
        <w:spacing w:after="0" w:line="240" w:lineRule="auto"/>
      </w:pPr>
      <w:r>
        <w:separator/>
      </w:r>
    </w:p>
  </w:footnote>
  <w:footnote w:type="continuationSeparator" w:id="0">
    <w:p w:rsidR="00B91250" w:rsidRDefault="00B91250" w:rsidP="00F65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19"/>
    <w:rsid w:val="00016242"/>
    <w:rsid w:val="00023B6E"/>
    <w:rsid w:val="00034ABC"/>
    <w:rsid w:val="000405DA"/>
    <w:rsid w:val="00051FE7"/>
    <w:rsid w:val="000624EB"/>
    <w:rsid w:val="000656B5"/>
    <w:rsid w:val="000705A8"/>
    <w:rsid w:val="000C4B78"/>
    <w:rsid w:val="000D4878"/>
    <w:rsid w:val="000D5AE3"/>
    <w:rsid w:val="000D6112"/>
    <w:rsid w:val="000E174A"/>
    <w:rsid w:val="00115D7D"/>
    <w:rsid w:val="001161C9"/>
    <w:rsid w:val="0013500D"/>
    <w:rsid w:val="00145E76"/>
    <w:rsid w:val="001641C7"/>
    <w:rsid w:val="00176BEB"/>
    <w:rsid w:val="0017739F"/>
    <w:rsid w:val="00180ADF"/>
    <w:rsid w:val="00182CD8"/>
    <w:rsid w:val="0018431C"/>
    <w:rsid w:val="00193B01"/>
    <w:rsid w:val="00193B5D"/>
    <w:rsid w:val="001A564A"/>
    <w:rsid w:val="001A6431"/>
    <w:rsid w:val="001A66AB"/>
    <w:rsid w:val="001C09A5"/>
    <w:rsid w:val="001C66B7"/>
    <w:rsid w:val="001D701F"/>
    <w:rsid w:val="001E3610"/>
    <w:rsid w:val="002376F3"/>
    <w:rsid w:val="002420FB"/>
    <w:rsid w:val="00245C3C"/>
    <w:rsid w:val="00256556"/>
    <w:rsid w:val="002C1F63"/>
    <w:rsid w:val="002D1A99"/>
    <w:rsid w:val="002D1EA7"/>
    <w:rsid w:val="002E3171"/>
    <w:rsid w:val="002E75B1"/>
    <w:rsid w:val="002F3A74"/>
    <w:rsid w:val="002F7B24"/>
    <w:rsid w:val="00322B90"/>
    <w:rsid w:val="0037661D"/>
    <w:rsid w:val="00397BA7"/>
    <w:rsid w:val="003A3860"/>
    <w:rsid w:val="003A489D"/>
    <w:rsid w:val="003B2121"/>
    <w:rsid w:val="003C3007"/>
    <w:rsid w:val="003D383D"/>
    <w:rsid w:val="003E54EC"/>
    <w:rsid w:val="00403FB5"/>
    <w:rsid w:val="0041191F"/>
    <w:rsid w:val="00414CDE"/>
    <w:rsid w:val="00425E26"/>
    <w:rsid w:val="0043560B"/>
    <w:rsid w:val="004436AF"/>
    <w:rsid w:val="00454782"/>
    <w:rsid w:val="00464FC6"/>
    <w:rsid w:val="004660DE"/>
    <w:rsid w:val="00466BB0"/>
    <w:rsid w:val="00495819"/>
    <w:rsid w:val="004A1EFC"/>
    <w:rsid w:val="004A4178"/>
    <w:rsid w:val="004A623E"/>
    <w:rsid w:val="004B6C19"/>
    <w:rsid w:val="004B77A2"/>
    <w:rsid w:val="004D0A82"/>
    <w:rsid w:val="004D1027"/>
    <w:rsid w:val="004E77F6"/>
    <w:rsid w:val="004F1E08"/>
    <w:rsid w:val="005055C8"/>
    <w:rsid w:val="00525512"/>
    <w:rsid w:val="00553F86"/>
    <w:rsid w:val="00566FFE"/>
    <w:rsid w:val="00571B26"/>
    <w:rsid w:val="00592BBB"/>
    <w:rsid w:val="0059341D"/>
    <w:rsid w:val="005A6483"/>
    <w:rsid w:val="005B40FB"/>
    <w:rsid w:val="0060025B"/>
    <w:rsid w:val="00603E9D"/>
    <w:rsid w:val="006048EF"/>
    <w:rsid w:val="00614C78"/>
    <w:rsid w:val="006265C5"/>
    <w:rsid w:val="006358B4"/>
    <w:rsid w:val="0063723F"/>
    <w:rsid w:val="00642AD0"/>
    <w:rsid w:val="00642E80"/>
    <w:rsid w:val="00661A46"/>
    <w:rsid w:val="006666B4"/>
    <w:rsid w:val="00666E13"/>
    <w:rsid w:val="006A23FD"/>
    <w:rsid w:val="006A4446"/>
    <w:rsid w:val="006D617E"/>
    <w:rsid w:val="006E719A"/>
    <w:rsid w:val="006F61D6"/>
    <w:rsid w:val="006F663C"/>
    <w:rsid w:val="00704576"/>
    <w:rsid w:val="00706402"/>
    <w:rsid w:val="00742975"/>
    <w:rsid w:val="007541DD"/>
    <w:rsid w:val="0075433B"/>
    <w:rsid w:val="00755F5B"/>
    <w:rsid w:val="007575F6"/>
    <w:rsid w:val="00763EA0"/>
    <w:rsid w:val="007968D0"/>
    <w:rsid w:val="00797A0F"/>
    <w:rsid w:val="007B2F6B"/>
    <w:rsid w:val="007C21CE"/>
    <w:rsid w:val="007E2E1A"/>
    <w:rsid w:val="007E2F32"/>
    <w:rsid w:val="007E3921"/>
    <w:rsid w:val="007E6692"/>
    <w:rsid w:val="008059AD"/>
    <w:rsid w:val="008103B9"/>
    <w:rsid w:val="00842836"/>
    <w:rsid w:val="008631B5"/>
    <w:rsid w:val="00882180"/>
    <w:rsid w:val="008933C1"/>
    <w:rsid w:val="008B18D2"/>
    <w:rsid w:val="008D4584"/>
    <w:rsid w:val="008F2A10"/>
    <w:rsid w:val="00943048"/>
    <w:rsid w:val="009611EA"/>
    <w:rsid w:val="009B144D"/>
    <w:rsid w:val="009B7525"/>
    <w:rsid w:val="009C4719"/>
    <w:rsid w:val="009D16FF"/>
    <w:rsid w:val="009D248F"/>
    <w:rsid w:val="009E0B50"/>
    <w:rsid w:val="00A014BA"/>
    <w:rsid w:val="00A22C61"/>
    <w:rsid w:val="00A26DFA"/>
    <w:rsid w:val="00A2798D"/>
    <w:rsid w:val="00A304DC"/>
    <w:rsid w:val="00A33707"/>
    <w:rsid w:val="00A33D8B"/>
    <w:rsid w:val="00A64587"/>
    <w:rsid w:val="00A731AE"/>
    <w:rsid w:val="00A75EB1"/>
    <w:rsid w:val="00A86A34"/>
    <w:rsid w:val="00A93EC3"/>
    <w:rsid w:val="00A9654D"/>
    <w:rsid w:val="00AA2346"/>
    <w:rsid w:val="00AA45EE"/>
    <w:rsid w:val="00AA6258"/>
    <w:rsid w:val="00AB6E67"/>
    <w:rsid w:val="00AC1389"/>
    <w:rsid w:val="00AF0AD9"/>
    <w:rsid w:val="00AF31D1"/>
    <w:rsid w:val="00B028FB"/>
    <w:rsid w:val="00B03E4E"/>
    <w:rsid w:val="00B305BE"/>
    <w:rsid w:val="00B349C0"/>
    <w:rsid w:val="00B36730"/>
    <w:rsid w:val="00B53522"/>
    <w:rsid w:val="00B560FD"/>
    <w:rsid w:val="00B813FF"/>
    <w:rsid w:val="00B91250"/>
    <w:rsid w:val="00B97D99"/>
    <w:rsid w:val="00B97E50"/>
    <w:rsid w:val="00BA44BD"/>
    <w:rsid w:val="00BB52F4"/>
    <w:rsid w:val="00BC02E1"/>
    <w:rsid w:val="00BE7C9D"/>
    <w:rsid w:val="00C154ED"/>
    <w:rsid w:val="00C37E3A"/>
    <w:rsid w:val="00C4361A"/>
    <w:rsid w:val="00C46EA4"/>
    <w:rsid w:val="00C55BB7"/>
    <w:rsid w:val="00C564E0"/>
    <w:rsid w:val="00C679B3"/>
    <w:rsid w:val="00C82B47"/>
    <w:rsid w:val="00C85234"/>
    <w:rsid w:val="00C91A04"/>
    <w:rsid w:val="00CA082E"/>
    <w:rsid w:val="00CA5C38"/>
    <w:rsid w:val="00CA622D"/>
    <w:rsid w:val="00CB2A3A"/>
    <w:rsid w:val="00CD2670"/>
    <w:rsid w:val="00CF1B0A"/>
    <w:rsid w:val="00D05A99"/>
    <w:rsid w:val="00D13B16"/>
    <w:rsid w:val="00D470E1"/>
    <w:rsid w:val="00D50330"/>
    <w:rsid w:val="00D55475"/>
    <w:rsid w:val="00D6113A"/>
    <w:rsid w:val="00D73891"/>
    <w:rsid w:val="00D85E3F"/>
    <w:rsid w:val="00D9736E"/>
    <w:rsid w:val="00DB136C"/>
    <w:rsid w:val="00DC00FD"/>
    <w:rsid w:val="00DC2711"/>
    <w:rsid w:val="00DF16D5"/>
    <w:rsid w:val="00E12C5D"/>
    <w:rsid w:val="00E2023F"/>
    <w:rsid w:val="00E207C0"/>
    <w:rsid w:val="00E36A4D"/>
    <w:rsid w:val="00E51C2F"/>
    <w:rsid w:val="00E525B2"/>
    <w:rsid w:val="00E57607"/>
    <w:rsid w:val="00E62C5F"/>
    <w:rsid w:val="00E64C18"/>
    <w:rsid w:val="00E80689"/>
    <w:rsid w:val="00E84DD6"/>
    <w:rsid w:val="00E92CC1"/>
    <w:rsid w:val="00EB36CB"/>
    <w:rsid w:val="00EC53C6"/>
    <w:rsid w:val="00EE78CD"/>
    <w:rsid w:val="00EF16C2"/>
    <w:rsid w:val="00EF783E"/>
    <w:rsid w:val="00F0577E"/>
    <w:rsid w:val="00F06F72"/>
    <w:rsid w:val="00F355DB"/>
    <w:rsid w:val="00F40C96"/>
    <w:rsid w:val="00F534CC"/>
    <w:rsid w:val="00F643D7"/>
    <w:rsid w:val="00F65F68"/>
    <w:rsid w:val="00F7408C"/>
    <w:rsid w:val="00FE58A0"/>
    <w:rsid w:val="00FE77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C6B79A-8E02-4D24-AE33-D5700AF3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C19"/>
  </w:style>
  <w:style w:type="paragraph" w:styleId="Ttulo1">
    <w:name w:val="heading 1"/>
    <w:basedOn w:val="Normal"/>
    <w:next w:val="Normal"/>
    <w:link w:val="Ttulo1Char"/>
    <w:uiPriority w:val="9"/>
    <w:qFormat/>
    <w:rsid w:val="00AF0AD9"/>
    <w:pPr>
      <w:keepNext/>
      <w:tabs>
        <w:tab w:val="num" w:pos="0"/>
      </w:tabs>
      <w:suppressAutoHyphens/>
      <w:spacing w:after="120" w:line="240" w:lineRule="auto"/>
      <w:ind w:left="432" w:hanging="432"/>
      <w:jc w:val="center"/>
      <w:outlineLvl w:val="0"/>
    </w:pPr>
    <w:rPr>
      <w:rFonts w:ascii="Arial" w:eastAsia="Times New Roman" w:hAnsi="Arial" w:cs="Times New Roman"/>
      <w:bCs/>
      <w:sz w:val="20"/>
      <w:szCs w:val="24"/>
      <w:lang w:eastAsia="ar-SA"/>
    </w:rPr>
  </w:style>
  <w:style w:type="paragraph" w:styleId="Ttulo2">
    <w:name w:val="heading 2"/>
    <w:basedOn w:val="Normal"/>
    <w:next w:val="Normal"/>
    <w:link w:val="Ttulo2Char"/>
    <w:qFormat/>
    <w:rsid w:val="00AF0AD9"/>
    <w:pPr>
      <w:keepNext/>
      <w:tabs>
        <w:tab w:val="num" w:pos="0"/>
      </w:tabs>
      <w:suppressAutoHyphens/>
      <w:spacing w:before="240" w:after="60" w:line="240" w:lineRule="auto"/>
      <w:ind w:left="576" w:hanging="576"/>
      <w:jc w:val="both"/>
      <w:outlineLvl w:val="1"/>
    </w:pPr>
    <w:rPr>
      <w:rFonts w:ascii="Arial" w:eastAsia="Times New Roman" w:hAnsi="Arial" w:cs="Times New Roman"/>
      <w:b/>
      <w:bCs/>
      <w:i/>
      <w:iCs/>
      <w:sz w:val="28"/>
      <w:szCs w:val="28"/>
      <w:lang w:eastAsia="ar-SA"/>
    </w:rPr>
  </w:style>
  <w:style w:type="paragraph" w:styleId="Ttulo3">
    <w:name w:val="heading 3"/>
    <w:basedOn w:val="Normal"/>
    <w:next w:val="Normal"/>
    <w:link w:val="Ttulo3Char"/>
    <w:qFormat/>
    <w:rsid w:val="00AF0AD9"/>
    <w:pPr>
      <w:keepNext/>
      <w:tabs>
        <w:tab w:val="num" w:pos="0"/>
      </w:tabs>
      <w:suppressAutoHyphens/>
      <w:spacing w:before="240" w:after="60" w:line="240" w:lineRule="auto"/>
      <w:ind w:left="720" w:hanging="720"/>
      <w:jc w:val="both"/>
      <w:outlineLvl w:val="2"/>
    </w:pPr>
    <w:rPr>
      <w:rFonts w:ascii="Cambria" w:eastAsia="Times New Roman" w:hAnsi="Cambria" w:cs="Times New Roman"/>
      <w:b/>
      <w:bCs/>
      <w:sz w:val="26"/>
      <w:szCs w:val="26"/>
      <w:lang w:eastAsia="ar-SA"/>
    </w:rPr>
  </w:style>
  <w:style w:type="paragraph" w:styleId="Ttulo4">
    <w:name w:val="heading 4"/>
    <w:basedOn w:val="Normal"/>
    <w:next w:val="Normal"/>
    <w:link w:val="Ttulo4Char"/>
    <w:qFormat/>
    <w:rsid w:val="00AF0AD9"/>
    <w:pPr>
      <w:keepNext/>
      <w:tabs>
        <w:tab w:val="num" w:pos="0"/>
      </w:tabs>
      <w:suppressAutoHyphens/>
      <w:spacing w:before="240" w:after="60" w:line="240" w:lineRule="auto"/>
      <w:ind w:left="864" w:hanging="864"/>
      <w:jc w:val="both"/>
      <w:outlineLvl w:val="3"/>
    </w:pPr>
    <w:rPr>
      <w:rFonts w:ascii="Calibri" w:eastAsia="Times New Roman" w:hAnsi="Calibri" w:cs="Times New Roman"/>
      <w:b/>
      <w:bCs/>
      <w:sz w:val="28"/>
      <w:szCs w:val="28"/>
      <w:lang w:eastAsia="ar-SA"/>
    </w:rPr>
  </w:style>
  <w:style w:type="paragraph" w:styleId="Ttulo5">
    <w:name w:val="heading 5"/>
    <w:basedOn w:val="Normal"/>
    <w:next w:val="Normal"/>
    <w:link w:val="Ttulo5Char"/>
    <w:qFormat/>
    <w:rsid w:val="00AF0AD9"/>
    <w:pPr>
      <w:keepNext/>
      <w:tabs>
        <w:tab w:val="num" w:pos="0"/>
      </w:tabs>
      <w:suppressAutoHyphens/>
      <w:spacing w:after="120" w:line="240" w:lineRule="auto"/>
      <w:ind w:left="1008" w:hanging="1008"/>
      <w:jc w:val="center"/>
      <w:outlineLvl w:val="4"/>
    </w:pPr>
    <w:rPr>
      <w:rFonts w:ascii="Times New Roman" w:eastAsia="Times New Roman" w:hAnsi="Times New Roman" w:cs="Times New Roman"/>
      <w:b/>
      <w:sz w:val="20"/>
      <w:szCs w:val="20"/>
      <w:lang w:eastAsia="ar-SA"/>
    </w:rPr>
  </w:style>
  <w:style w:type="paragraph" w:styleId="Ttulo6">
    <w:name w:val="heading 6"/>
    <w:basedOn w:val="Normal"/>
    <w:next w:val="Normal"/>
    <w:link w:val="Ttulo6Char"/>
    <w:qFormat/>
    <w:rsid w:val="00AF0AD9"/>
    <w:pPr>
      <w:tabs>
        <w:tab w:val="num" w:pos="0"/>
      </w:tabs>
      <w:suppressAutoHyphens/>
      <w:spacing w:before="240" w:after="60" w:line="240" w:lineRule="auto"/>
      <w:ind w:left="1152" w:hanging="1152"/>
      <w:jc w:val="both"/>
      <w:outlineLvl w:val="5"/>
    </w:pPr>
    <w:rPr>
      <w:rFonts w:ascii="Calibri" w:eastAsia="Times New Roman" w:hAnsi="Calibri" w:cs="Times New Roman"/>
      <w:b/>
      <w:bCs/>
      <w:sz w:val="20"/>
      <w:szCs w:val="20"/>
      <w:lang w:eastAsia="ar-SA"/>
    </w:rPr>
  </w:style>
  <w:style w:type="paragraph" w:styleId="Ttulo7">
    <w:name w:val="heading 7"/>
    <w:basedOn w:val="Normal"/>
    <w:next w:val="Normal"/>
    <w:link w:val="Ttulo7Char"/>
    <w:uiPriority w:val="99"/>
    <w:qFormat/>
    <w:rsid w:val="00AF0AD9"/>
    <w:pPr>
      <w:tabs>
        <w:tab w:val="num" w:pos="0"/>
      </w:tabs>
      <w:suppressAutoHyphens/>
      <w:spacing w:before="240" w:after="60" w:line="240" w:lineRule="auto"/>
      <w:ind w:left="1296" w:hanging="1296"/>
      <w:jc w:val="both"/>
      <w:outlineLvl w:val="6"/>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B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65F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5F68"/>
  </w:style>
  <w:style w:type="paragraph" w:styleId="Rodap">
    <w:name w:val="footer"/>
    <w:basedOn w:val="Normal"/>
    <w:link w:val="RodapChar"/>
    <w:uiPriority w:val="99"/>
    <w:unhideWhenUsed/>
    <w:rsid w:val="00F65F68"/>
    <w:pPr>
      <w:tabs>
        <w:tab w:val="center" w:pos="4252"/>
        <w:tab w:val="right" w:pos="8504"/>
      </w:tabs>
      <w:spacing w:after="0" w:line="240" w:lineRule="auto"/>
    </w:pPr>
  </w:style>
  <w:style w:type="character" w:customStyle="1" w:styleId="RodapChar">
    <w:name w:val="Rodapé Char"/>
    <w:basedOn w:val="Fontepargpadro"/>
    <w:link w:val="Rodap"/>
    <w:uiPriority w:val="99"/>
    <w:rsid w:val="00F65F68"/>
  </w:style>
  <w:style w:type="paragraph" w:styleId="Textodebalo">
    <w:name w:val="Balloon Text"/>
    <w:basedOn w:val="Normal"/>
    <w:link w:val="TextodebaloChar"/>
    <w:uiPriority w:val="99"/>
    <w:semiHidden/>
    <w:unhideWhenUsed/>
    <w:rsid w:val="004A62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623E"/>
    <w:rPr>
      <w:rFonts w:ascii="Segoe UI" w:hAnsi="Segoe UI" w:cs="Segoe UI"/>
      <w:sz w:val="18"/>
      <w:szCs w:val="18"/>
    </w:rPr>
  </w:style>
  <w:style w:type="paragraph" w:styleId="Recuodecorpodetexto">
    <w:name w:val="Body Text Indent"/>
    <w:basedOn w:val="Normal"/>
    <w:link w:val="RecuodecorpodetextoChar"/>
    <w:uiPriority w:val="99"/>
    <w:rsid w:val="00495819"/>
    <w:pPr>
      <w:spacing w:after="0" w:line="240" w:lineRule="auto"/>
      <w:ind w:left="2694"/>
      <w:jc w:val="both"/>
    </w:pPr>
    <w:rPr>
      <w:rFonts w:ascii="Arial" w:eastAsia="Times New Roman" w:hAnsi="Arial" w:cs="Arial"/>
      <w:sz w:val="24"/>
      <w:szCs w:val="20"/>
      <w:lang w:eastAsia="pt-BR"/>
    </w:rPr>
  </w:style>
  <w:style w:type="character" w:customStyle="1" w:styleId="RecuodecorpodetextoChar">
    <w:name w:val="Recuo de corpo de texto Char"/>
    <w:basedOn w:val="Fontepargpadro"/>
    <w:link w:val="Recuodecorpodetexto"/>
    <w:uiPriority w:val="99"/>
    <w:rsid w:val="00495819"/>
    <w:rPr>
      <w:rFonts w:ascii="Arial" w:eastAsia="Times New Roman" w:hAnsi="Arial" w:cs="Arial"/>
      <w:sz w:val="24"/>
      <w:szCs w:val="20"/>
      <w:lang w:eastAsia="pt-BR"/>
    </w:rPr>
  </w:style>
  <w:style w:type="paragraph" w:styleId="Recuodecorpodetexto2">
    <w:name w:val="Body Text Indent 2"/>
    <w:basedOn w:val="Normal"/>
    <w:link w:val="Recuodecorpodetexto2Char"/>
    <w:uiPriority w:val="99"/>
    <w:rsid w:val="00495819"/>
    <w:pPr>
      <w:spacing w:after="0" w:line="240" w:lineRule="auto"/>
      <w:ind w:firstLine="2694"/>
      <w:jc w:val="both"/>
    </w:pPr>
    <w:rPr>
      <w:rFonts w:ascii="Arial" w:eastAsia="Times New Roman" w:hAnsi="Arial" w:cs="Arial"/>
      <w:sz w:val="24"/>
      <w:szCs w:val="20"/>
      <w:lang w:eastAsia="pt-BR"/>
    </w:rPr>
  </w:style>
  <w:style w:type="character" w:customStyle="1" w:styleId="Recuodecorpodetexto2Char">
    <w:name w:val="Recuo de corpo de texto 2 Char"/>
    <w:basedOn w:val="Fontepargpadro"/>
    <w:link w:val="Recuodecorpodetexto2"/>
    <w:uiPriority w:val="99"/>
    <w:rsid w:val="00495819"/>
    <w:rPr>
      <w:rFonts w:ascii="Arial" w:eastAsia="Times New Roman" w:hAnsi="Arial" w:cs="Arial"/>
      <w:sz w:val="24"/>
      <w:szCs w:val="20"/>
      <w:lang w:eastAsia="pt-BR"/>
    </w:rPr>
  </w:style>
  <w:style w:type="paragraph" w:styleId="SemEspaamento">
    <w:name w:val="No Spacing"/>
    <w:uiPriority w:val="1"/>
    <w:qFormat/>
    <w:rsid w:val="00CA622D"/>
    <w:pPr>
      <w:spacing w:after="0" w:line="240" w:lineRule="auto"/>
    </w:pPr>
  </w:style>
  <w:style w:type="paragraph" w:customStyle="1" w:styleId="western">
    <w:name w:val="western"/>
    <w:basedOn w:val="Normal"/>
    <w:rsid w:val="006A23FD"/>
    <w:pPr>
      <w:spacing w:before="28" w:after="119"/>
    </w:pPr>
    <w:rPr>
      <w:rFonts w:ascii="Times New Roman" w:eastAsia="Times New Roman" w:hAnsi="Times New Roman" w:cs="Times New Roman"/>
      <w:color w:val="00000A"/>
      <w:sz w:val="24"/>
      <w:szCs w:val="24"/>
      <w:lang w:eastAsia="pt-BR"/>
    </w:rPr>
  </w:style>
  <w:style w:type="character" w:styleId="Hyperlink">
    <w:name w:val="Hyperlink"/>
    <w:basedOn w:val="Fontepargpadro"/>
    <w:uiPriority w:val="99"/>
    <w:unhideWhenUsed/>
    <w:rsid w:val="00016242"/>
    <w:rPr>
      <w:color w:val="0000FF"/>
      <w:u w:val="single"/>
    </w:rPr>
  </w:style>
  <w:style w:type="paragraph" w:styleId="Corpodetexto2">
    <w:name w:val="Body Text 2"/>
    <w:basedOn w:val="Normal"/>
    <w:link w:val="Corpodetexto2Char"/>
    <w:uiPriority w:val="99"/>
    <w:unhideWhenUsed/>
    <w:rsid w:val="008B18D2"/>
    <w:pPr>
      <w:spacing w:after="120" w:line="480" w:lineRule="auto"/>
    </w:pPr>
  </w:style>
  <w:style w:type="character" w:customStyle="1" w:styleId="Corpodetexto2Char">
    <w:name w:val="Corpo de texto 2 Char"/>
    <w:basedOn w:val="Fontepargpadro"/>
    <w:link w:val="Corpodetexto2"/>
    <w:uiPriority w:val="99"/>
    <w:rsid w:val="008B18D2"/>
  </w:style>
  <w:style w:type="paragraph" w:styleId="Corpodetexto">
    <w:name w:val="Body Text"/>
    <w:basedOn w:val="Normal"/>
    <w:link w:val="CorpodetextoChar"/>
    <w:uiPriority w:val="99"/>
    <w:unhideWhenUsed/>
    <w:qFormat/>
    <w:rsid w:val="00AF0AD9"/>
    <w:pPr>
      <w:spacing w:after="120"/>
    </w:pPr>
  </w:style>
  <w:style w:type="character" w:customStyle="1" w:styleId="CorpodetextoChar">
    <w:name w:val="Corpo de texto Char"/>
    <w:basedOn w:val="Fontepargpadro"/>
    <w:link w:val="Corpodetexto"/>
    <w:uiPriority w:val="99"/>
    <w:rsid w:val="00AF0AD9"/>
  </w:style>
  <w:style w:type="character" w:customStyle="1" w:styleId="Ttulo1Char">
    <w:name w:val="Título 1 Char"/>
    <w:basedOn w:val="Fontepargpadro"/>
    <w:link w:val="Ttulo1"/>
    <w:uiPriority w:val="9"/>
    <w:rsid w:val="00AF0AD9"/>
    <w:rPr>
      <w:rFonts w:ascii="Arial" w:eastAsia="Times New Roman" w:hAnsi="Arial" w:cs="Times New Roman"/>
      <w:bCs/>
      <w:sz w:val="20"/>
      <w:szCs w:val="24"/>
      <w:lang w:eastAsia="ar-SA"/>
    </w:rPr>
  </w:style>
  <w:style w:type="character" w:customStyle="1" w:styleId="Ttulo2Char">
    <w:name w:val="Título 2 Char"/>
    <w:basedOn w:val="Fontepargpadro"/>
    <w:link w:val="Ttulo2"/>
    <w:rsid w:val="00AF0AD9"/>
    <w:rPr>
      <w:rFonts w:ascii="Arial" w:eastAsia="Times New Roman" w:hAnsi="Arial" w:cs="Times New Roman"/>
      <w:b/>
      <w:bCs/>
      <w:i/>
      <w:iCs/>
      <w:sz w:val="28"/>
      <w:szCs w:val="28"/>
      <w:lang w:eastAsia="ar-SA"/>
    </w:rPr>
  </w:style>
  <w:style w:type="character" w:customStyle="1" w:styleId="Ttulo3Char">
    <w:name w:val="Título 3 Char"/>
    <w:basedOn w:val="Fontepargpadro"/>
    <w:link w:val="Ttulo3"/>
    <w:rsid w:val="00AF0AD9"/>
    <w:rPr>
      <w:rFonts w:ascii="Cambria" w:eastAsia="Times New Roman" w:hAnsi="Cambria" w:cs="Times New Roman"/>
      <w:b/>
      <w:bCs/>
      <w:sz w:val="26"/>
      <w:szCs w:val="26"/>
      <w:lang w:eastAsia="ar-SA"/>
    </w:rPr>
  </w:style>
  <w:style w:type="character" w:customStyle="1" w:styleId="Ttulo4Char">
    <w:name w:val="Título 4 Char"/>
    <w:basedOn w:val="Fontepargpadro"/>
    <w:link w:val="Ttulo4"/>
    <w:rsid w:val="00AF0AD9"/>
    <w:rPr>
      <w:rFonts w:ascii="Calibri" w:eastAsia="Times New Roman" w:hAnsi="Calibri" w:cs="Times New Roman"/>
      <w:b/>
      <w:bCs/>
      <w:sz w:val="28"/>
      <w:szCs w:val="28"/>
      <w:lang w:eastAsia="ar-SA"/>
    </w:rPr>
  </w:style>
  <w:style w:type="character" w:customStyle="1" w:styleId="Ttulo5Char">
    <w:name w:val="Título 5 Char"/>
    <w:basedOn w:val="Fontepargpadro"/>
    <w:link w:val="Ttulo5"/>
    <w:rsid w:val="00AF0AD9"/>
    <w:rPr>
      <w:rFonts w:ascii="Times New Roman" w:eastAsia="Times New Roman" w:hAnsi="Times New Roman" w:cs="Times New Roman"/>
      <w:b/>
      <w:sz w:val="20"/>
      <w:szCs w:val="20"/>
      <w:lang w:eastAsia="ar-SA"/>
    </w:rPr>
  </w:style>
  <w:style w:type="character" w:customStyle="1" w:styleId="Ttulo6Char">
    <w:name w:val="Título 6 Char"/>
    <w:basedOn w:val="Fontepargpadro"/>
    <w:link w:val="Ttulo6"/>
    <w:rsid w:val="00AF0AD9"/>
    <w:rPr>
      <w:rFonts w:ascii="Calibri" w:eastAsia="Times New Roman" w:hAnsi="Calibri" w:cs="Times New Roman"/>
      <w:b/>
      <w:bCs/>
      <w:sz w:val="20"/>
      <w:szCs w:val="20"/>
      <w:lang w:eastAsia="ar-SA"/>
    </w:rPr>
  </w:style>
  <w:style w:type="character" w:customStyle="1" w:styleId="Ttulo7Char">
    <w:name w:val="Título 7 Char"/>
    <w:basedOn w:val="Fontepargpadro"/>
    <w:link w:val="Ttulo7"/>
    <w:uiPriority w:val="99"/>
    <w:rsid w:val="00AF0AD9"/>
    <w:rPr>
      <w:rFonts w:ascii="Times New Roman" w:eastAsia="Times New Roman" w:hAnsi="Times New Roman" w:cs="Times New Roman"/>
      <w:sz w:val="24"/>
      <w:szCs w:val="24"/>
      <w:lang w:eastAsia="ar-SA"/>
    </w:rPr>
  </w:style>
  <w:style w:type="character" w:customStyle="1" w:styleId="WW8Num2z0">
    <w:name w:val="WW8Num2z0"/>
    <w:rsid w:val="00AF0AD9"/>
    <w:rPr>
      <w:b/>
    </w:rPr>
  </w:style>
  <w:style w:type="character" w:customStyle="1" w:styleId="WW8Num9z0">
    <w:name w:val="WW8Num9z0"/>
    <w:rsid w:val="00AF0AD9"/>
    <w:rPr>
      <w:b/>
    </w:rPr>
  </w:style>
  <w:style w:type="character" w:customStyle="1" w:styleId="Absatz-Standardschriftart">
    <w:name w:val="Absatz-Standardschriftart"/>
    <w:rsid w:val="00AF0AD9"/>
  </w:style>
  <w:style w:type="character" w:customStyle="1" w:styleId="WW8Num3z0">
    <w:name w:val="WW8Num3z0"/>
    <w:rsid w:val="00AF0AD9"/>
    <w:rPr>
      <w:b w:val="0"/>
      <w:bCs w:val="0"/>
    </w:rPr>
  </w:style>
  <w:style w:type="character" w:customStyle="1" w:styleId="WW8Num8z0">
    <w:name w:val="WW8Num8z0"/>
    <w:rsid w:val="00AF0AD9"/>
    <w:rPr>
      <w:rFonts w:ascii="Times New Roman" w:eastAsia="Times New Roman" w:hAnsi="Times New Roman" w:cs="Times New Roman"/>
      <w:b/>
    </w:rPr>
  </w:style>
  <w:style w:type="character" w:customStyle="1" w:styleId="WW8Num11z0">
    <w:name w:val="WW8Num11z0"/>
    <w:rsid w:val="00AF0AD9"/>
    <w:rPr>
      <w:b w:val="0"/>
      <w:i w:val="0"/>
      <w:sz w:val="20"/>
    </w:rPr>
  </w:style>
  <w:style w:type="character" w:customStyle="1" w:styleId="WW8Num14z0">
    <w:name w:val="WW8Num14z0"/>
    <w:rsid w:val="00AF0AD9"/>
    <w:rPr>
      <w:b/>
    </w:rPr>
  </w:style>
  <w:style w:type="character" w:customStyle="1" w:styleId="WW8Num26z0">
    <w:name w:val="WW8Num26z0"/>
    <w:rsid w:val="00AF0AD9"/>
    <w:rPr>
      <w:b/>
    </w:rPr>
  </w:style>
  <w:style w:type="character" w:customStyle="1" w:styleId="Fontepargpadro1">
    <w:name w:val="Fonte parág. padrão1"/>
    <w:rsid w:val="00AF0AD9"/>
  </w:style>
  <w:style w:type="character" w:styleId="Nmerodepgina">
    <w:name w:val="page number"/>
    <w:basedOn w:val="Fontepargpadro1"/>
    <w:rsid w:val="00AF0AD9"/>
  </w:style>
  <w:style w:type="character" w:styleId="Forte">
    <w:name w:val="Strong"/>
    <w:qFormat/>
    <w:rsid w:val="00AF0AD9"/>
    <w:rPr>
      <w:b/>
      <w:bCs/>
    </w:rPr>
  </w:style>
  <w:style w:type="character" w:customStyle="1" w:styleId="CharChar8">
    <w:name w:val="Char Char8"/>
    <w:rsid w:val="00AF0AD9"/>
    <w:rPr>
      <w:rFonts w:ascii="Calibri" w:hAnsi="Calibri"/>
      <w:b/>
      <w:bCs/>
      <w:sz w:val="22"/>
      <w:szCs w:val="22"/>
      <w:lang w:val="pt-BR" w:eastAsia="ar-SA" w:bidi="ar-SA"/>
    </w:rPr>
  </w:style>
  <w:style w:type="character" w:customStyle="1" w:styleId="Caracteresdenotaderodap">
    <w:name w:val="Caracteres de nota de rodapé"/>
    <w:rsid w:val="00AF0AD9"/>
    <w:rPr>
      <w:vertAlign w:val="superscript"/>
    </w:rPr>
  </w:style>
  <w:style w:type="character" w:customStyle="1" w:styleId="CharChar">
    <w:name w:val="Char Char"/>
    <w:rsid w:val="00AF0AD9"/>
    <w:rPr>
      <w:sz w:val="24"/>
      <w:szCs w:val="24"/>
    </w:rPr>
  </w:style>
  <w:style w:type="character" w:customStyle="1" w:styleId="CharChar11">
    <w:name w:val="Char Char11"/>
    <w:rsid w:val="00AF0AD9"/>
    <w:rPr>
      <w:rFonts w:ascii="Cambria" w:eastAsia="Times New Roman" w:hAnsi="Cambria" w:cs="Times New Roman"/>
      <w:b/>
      <w:bCs/>
      <w:sz w:val="26"/>
      <w:szCs w:val="26"/>
    </w:rPr>
  </w:style>
  <w:style w:type="character" w:customStyle="1" w:styleId="CharChar10">
    <w:name w:val="Char Char10"/>
    <w:rsid w:val="00AF0AD9"/>
    <w:rPr>
      <w:rFonts w:ascii="Calibri" w:eastAsia="Times New Roman" w:hAnsi="Calibri" w:cs="Times New Roman"/>
      <w:b/>
      <w:bCs/>
      <w:sz w:val="28"/>
      <w:szCs w:val="28"/>
    </w:rPr>
  </w:style>
  <w:style w:type="character" w:customStyle="1" w:styleId="CharChar13">
    <w:name w:val="Char Char13"/>
    <w:rsid w:val="00AF0AD9"/>
    <w:rPr>
      <w:rFonts w:ascii="Arial" w:hAnsi="Arial" w:cs="Arial"/>
      <w:bCs/>
      <w:sz w:val="22"/>
      <w:szCs w:val="24"/>
      <w:lang w:val="pt-BR"/>
    </w:rPr>
  </w:style>
  <w:style w:type="character" w:customStyle="1" w:styleId="CharChar12">
    <w:name w:val="Char Char12"/>
    <w:rsid w:val="00AF0AD9"/>
    <w:rPr>
      <w:rFonts w:ascii="Arial" w:hAnsi="Arial" w:cs="Arial"/>
      <w:b/>
      <w:bCs/>
      <w:i/>
      <w:iCs/>
      <w:sz w:val="28"/>
      <w:szCs w:val="28"/>
    </w:rPr>
  </w:style>
  <w:style w:type="character" w:customStyle="1" w:styleId="CharChar9">
    <w:name w:val="Char Char9"/>
    <w:rsid w:val="00AF0AD9"/>
    <w:rPr>
      <w:b/>
    </w:rPr>
  </w:style>
  <w:style w:type="character" w:customStyle="1" w:styleId="CharChar7">
    <w:name w:val="Char Char7"/>
    <w:rsid w:val="00AF0AD9"/>
    <w:rPr>
      <w:rFonts w:ascii="Arial" w:hAnsi="Arial" w:cs="Arial"/>
      <w:b/>
      <w:bCs/>
      <w:sz w:val="24"/>
      <w:szCs w:val="24"/>
    </w:rPr>
  </w:style>
  <w:style w:type="character" w:customStyle="1" w:styleId="CharChar6">
    <w:name w:val="Char Char6"/>
    <w:rsid w:val="00AF0AD9"/>
    <w:rPr>
      <w:b/>
    </w:rPr>
  </w:style>
  <w:style w:type="character" w:customStyle="1" w:styleId="CharChar5">
    <w:name w:val="Char Char5"/>
    <w:basedOn w:val="Fontepargpadro1"/>
    <w:rsid w:val="00AF0AD9"/>
  </w:style>
  <w:style w:type="character" w:customStyle="1" w:styleId="CharChar4">
    <w:name w:val="Char Char4"/>
    <w:basedOn w:val="Fontepargpadro1"/>
    <w:rsid w:val="00AF0AD9"/>
  </w:style>
  <w:style w:type="character" w:customStyle="1" w:styleId="CharChar3">
    <w:name w:val="Char Char3"/>
    <w:rsid w:val="00AF0AD9"/>
    <w:rPr>
      <w:rFonts w:ascii="Arial" w:hAnsi="Arial"/>
      <w:color w:val="000000"/>
    </w:rPr>
  </w:style>
  <w:style w:type="character" w:customStyle="1" w:styleId="CharChar2">
    <w:name w:val="Char Char2"/>
    <w:rsid w:val="00AF0AD9"/>
    <w:rPr>
      <w:b/>
    </w:rPr>
  </w:style>
  <w:style w:type="character" w:customStyle="1" w:styleId="CharChar1">
    <w:name w:val="Char Char1"/>
    <w:rsid w:val="00AF0AD9"/>
    <w:rPr>
      <w:b/>
      <w:color w:val="000000"/>
    </w:rPr>
  </w:style>
  <w:style w:type="character" w:customStyle="1" w:styleId="semanegrito1">
    <w:name w:val="semanegrito1"/>
    <w:rsid w:val="00AF0AD9"/>
    <w:rPr>
      <w:rFonts w:ascii="Verdana" w:hAnsi="Verdana"/>
      <w:b/>
      <w:bCs/>
      <w:i w:val="0"/>
      <w:iCs w:val="0"/>
      <w:color w:val="003300"/>
      <w:sz w:val="24"/>
      <w:szCs w:val="24"/>
    </w:rPr>
  </w:style>
  <w:style w:type="character" w:customStyle="1" w:styleId="apple-style-span">
    <w:name w:val="apple-style-span"/>
    <w:basedOn w:val="Fontepargpadro1"/>
    <w:rsid w:val="00AF0AD9"/>
  </w:style>
  <w:style w:type="character" w:styleId="Refdenotaderodap">
    <w:name w:val="footnote reference"/>
    <w:rsid w:val="00AF0AD9"/>
    <w:rPr>
      <w:vertAlign w:val="superscript"/>
    </w:rPr>
  </w:style>
  <w:style w:type="character" w:customStyle="1" w:styleId="Caracteresdenotadefim">
    <w:name w:val="Caracteres de nota de fim"/>
    <w:rsid w:val="00AF0AD9"/>
    <w:rPr>
      <w:vertAlign w:val="superscript"/>
    </w:rPr>
  </w:style>
  <w:style w:type="character" w:customStyle="1" w:styleId="WW-Caracteresdenotadefim">
    <w:name w:val="WW-Caracteres de nota de fim"/>
    <w:rsid w:val="00AF0AD9"/>
  </w:style>
  <w:style w:type="character" w:styleId="Refdenotadefim">
    <w:name w:val="endnote reference"/>
    <w:rsid w:val="00AF0AD9"/>
    <w:rPr>
      <w:vertAlign w:val="superscript"/>
    </w:rPr>
  </w:style>
  <w:style w:type="paragraph" w:customStyle="1" w:styleId="Ttulo10">
    <w:name w:val="Título1"/>
    <w:basedOn w:val="Normal"/>
    <w:next w:val="Corpodetexto"/>
    <w:uiPriority w:val="99"/>
    <w:rsid w:val="00AF0AD9"/>
    <w:pPr>
      <w:keepNext/>
      <w:suppressAutoHyphens/>
      <w:spacing w:before="240" w:after="120" w:line="240" w:lineRule="auto"/>
      <w:ind w:firstLine="709"/>
      <w:jc w:val="both"/>
    </w:pPr>
    <w:rPr>
      <w:rFonts w:ascii="Arial" w:eastAsia="Arial Unicode MS" w:hAnsi="Arial" w:cs="Tahoma"/>
      <w:sz w:val="28"/>
      <w:szCs w:val="28"/>
      <w:lang w:eastAsia="ar-SA"/>
    </w:rPr>
  </w:style>
  <w:style w:type="paragraph" w:styleId="Lista">
    <w:name w:val="List"/>
    <w:basedOn w:val="Corpodetexto"/>
    <w:uiPriority w:val="99"/>
    <w:rsid w:val="00AF0AD9"/>
    <w:pPr>
      <w:suppressAutoHyphens/>
      <w:spacing w:line="240" w:lineRule="auto"/>
      <w:ind w:firstLine="709"/>
      <w:jc w:val="center"/>
    </w:pPr>
    <w:rPr>
      <w:rFonts w:ascii="Times New Roman" w:eastAsia="Times New Roman" w:hAnsi="Times New Roman" w:cs="Tahoma"/>
      <w:b/>
      <w:color w:val="000000"/>
      <w:sz w:val="20"/>
      <w:szCs w:val="20"/>
      <w:lang w:eastAsia="ar-SA"/>
    </w:rPr>
  </w:style>
  <w:style w:type="paragraph" w:customStyle="1" w:styleId="Legenda1">
    <w:name w:val="Legenda1"/>
    <w:basedOn w:val="Normal"/>
    <w:uiPriority w:val="99"/>
    <w:rsid w:val="00AF0AD9"/>
    <w:pPr>
      <w:suppressLineNumbers/>
      <w:suppressAutoHyphens/>
      <w:spacing w:before="120" w:after="120" w:line="240" w:lineRule="auto"/>
      <w:ind w:firstLine="709"/>
      <w:jc w:val="both"/>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AF0AD9"/>
    <w:pPr>
      <w:suppressLineNumbers/>
      <w:suppressAutoHyphens/>
      <w:spacing w:after="120" w:line="240" w:lineRule="auto"/>
      <w:ind w:firstLine="709"/>
      <w:jc w:val="both"/>
    </w:pPr>
    <w:rPr>
      <w:rFonts w:ascii="Times New Roman" w:eastAsia="Times New Roman" w:hAnsi="Times New Roman" w:cs="Tahoma"/>
      <w:sz w:val="24"/>
      <w:szCs w:val="24"/>
      <w:lang w:eastAsia="ar-SA"/>
    </w:rPr>
  </w:style>
  <w:style w:type="paragraph" w:customStyle="1" w:styleId="Recuodecorpodetexto32">
    <w:name w:val="Recuo de corpo de texto 32"/>
    <w:basedOn w:val="Normal"/>
    <w:uiPriority w:val="99"/>
    <w:rsid w:val="00AF0AD9"/>
    <w:pPr>
      <w:suppressAutoHyphens/>
      <w:spacing w:after="120" w:line="240" w:lineRule="auto"/>
      <w:ind w:firstLine="1134"/>
      <w:jc w:val="both"/>
    </w:pPr>
    <w:rPr>
      <w:rFonts w:ascii="Times New Roman" w:eastAsia="Times New Roman" w:hAnsi="Times New Roman" w:cs="Times New Roman"/>
      <w:b/>
      <w:sz w:val="20"/>
      <w:szCs w:val="20"/>
      <w:lang w:eastAsia="ar-SA"/>
    </w:rPr>
  </w:style>
  <w:style w:type="paragraph" w:customStyle="1" w:styleId="Recuodecorpodetexto21">
    <w:name w:val="Recuo de corpo de texto 21"/>
    <w:basedOn w:val="Normal"/>
    <w:uiPriority w:val="99"/>
    <w:rsid w:val="00AF0AD9"/>
    <w:pPr>
      <w:suppressAutoHyphens/>
      <w:spacing w:after="120" w:line="240" w:lineRule="auto"/>
      <w:ind w:left="1843" w:hanging="283"/>
      <w:jc w:val="both"/>
    </w:pPr>
    <w:rPr>
      <w:rFonts w:ascii="Times New Roman" w:eastAsia="Times New Roman" w:hAnsi="Times New Roman" w:cs="Times New Roman"/>
      <w:sz w:val="20"/>
      <w:szCs w:val="20"/>
      <w:lang w:eastAsia="ar-SA"/>
    </w:rPr>
  </w:style>
  <w:style w:type="paragraph" w:customStyle="1" w:styleId="Corpodetexto21">
    <w:name w:val="Corpo de texto 21"/>
    <w:basedOn w:val="Normal"/>
    <w:uiPriority w:val="99"/>
    <w:rsid w:val="00AF0AD9"/>
    <w:pPr>
      <w:suppressAutoHyphens/>
      <w:spacing w:after="120" w:line="240" w:lineRule="auto"/>
      <w:ind w:firstLine="709"/>
      <w:jc w:val="both"/>
    </w:pPr>
    <w:rPr>
      <w:rFonts w:ascii="Arial" w:eastAsia="Times New Roman" w:hAnsi="Arial" w:cs="Times New Roman"/>
      <w:color w:val="000000"/>
      <w:sz w:val="20"/>
      <w:szCs w:val="20"/>
      <w:lang w:eastAsia="ar-SA"/>
    </w:rPr>
  </w:style>
  <w:style w:type="paragraph" w:customStyle="1" w:styleId="Corpodetexto31">
    <w:name w:val="Corpo de texto 31"/>
    <w:basedOn w:val="Normal"/>
    <w:uiPriority w:val="99"/>
    <w:rsid w:val="00AF0AD9"/>
    <w:pPr>
      <w:suppressAutoHyphens/>
      <w:spacing w:after="120" w:line="240" w:lineRule="auto"/>
      <w:ind w:firstLine="709"/>
      <w:jc w:val="center"/>
    </w:pPr>
    <w:rPr>
      <w:rFonts w:ascii="Times New Roman" w:eastAsia="Times New Roman" w:hAnsi="Times New Roman" w:cs="Times New Roman"/>
      <w:b/>
      <w:sz w:val="20"/>
      <w:szCs w:val="20"/>
      <w:lang w:eastAsia="ar-SA"/>
    </w:rPr>
  </w:style>
  <w:style w:type="paragraph" w:customStyle="1" w:styleId="Default">
    <w:name w:val="Default"/>
    <w:uiPriority w:val="99"/>
    <w:rsid w:val="00AF0AD9"/>
    <w:pPr>
      <w:suppressAutoHyphens/>
      <w:autoSpaceDE w:val="0"/>
      <w:spacing w:after="120" w:line="240" w:lineRule="auto"/>
      <w:ind w:firstLine="709"/>
      <w:jc w:val="both"/>
    </w:pPr>
    <w:rPr>
      <w:rFonts w:ascii="Times New Roman" w:eastAsia="Arial" w:hAnsi="Times New Roman" w:cs="Times New Roman"/>
      <w:color w:val="000000"/>
      <w:sz w:val="24"/>
      <w:szCs w:val="24"/>
      <w:lang w:eastAsia="ar-SA"/>
    </w:rPr>
  </w:style>
  <w:style w:type="paragraph" w:styleId="Textodenotaderodap">
    <w:name w:val="footnote text"/>
    <w:basedOn w:val="Normal"/>
    <w:link w:val="TextodenotaderodapChar"/>
    <w:uiPriority w:val="99"/>
    <w:rsid w:val="00AF0AD9"/>
    <w:pPr>
      <w:suppressAutoHyphens/>
      <w:spacing w:after="120" w:line="240" w:lineRule="auto"/>
      <w:ind w:firstLine="709"/>
      <w:jc w:val="both"/>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uiPriority w:val="99"/>
    <w:rsid w:val="00AF0AD9"/>
    <w:rPr>
      <w:rFonts w:ascii="Times New Roman" w:eastAsia="Times New Roman" w:hAnsi="Times New Roman" w:cs="Times New Roman"/>
      <w:sz w:val="20"/>
      <w:szCs w:val="20"/>
      <w:lang w:eastAsia="ar-SA"/>
    </w:rPr>
  </w:style>
  <w:style w:type="paragraph" w:styleId="Ttulo">
    <w:name w:val="Title"/>
    <w:basedOn w:val="Normal"/>
    <w:next w:val="Subttulo"/>
    <w:link w:val="TtuloChar"/>
    <w:uiPriority w:val="99"/>
    <w:qFormat/>
    <w:rsid w:val="00AF0AD9"/>
    <w:pPr>
      <w:suppressAutoHyphens/>
      <w:spacing w:after="120" w:line="240" w:lineRule="auto"/>
      <w:ind w:firstLine="709"/>
      <w:jc w:val="center"/>
    </w:pPr>
    <w:rPr>
      <w:rFonts w:ascii="Times New Roman" w:eastAsia="Times New Roman" w:hAnsi="Times New Roman" w:cs="Times New Roman"/>
      <w:sz w:val="32"/>
      <w:szCs w:val="32"/>
      <w:lang w:eastAsia="ar-SA"/>
    </w:rPr>
  </w:style>
  <w:style w:type="character" w:customStyle="1" w:styleId="TtuloChar">
    <w:name w:val="Título Char"/>
    <w:basedOn w:val="Fontepargpadro"/>
    <w:link w:val="Ttulo"/>
    <w:uiPriority w:val="99"/>
    <w:rsid w:val="00AF0AD9"/>
    <w:rPr>
      <w:rFonts w:ascii="Times New Roman" w:eastAsia="Times New Roman" w:hAnsi="Times New Roman" w:cs="Times New Roman"/>
      <w:sz w:val="32"/>
      <w:szCs w:val="32"/>
      <w:lang w:eastAsia="ar-SA"/>
    </w:rPr>
  </w:style>
  <w:style w:type="paragraph" w:styleId="Subttulo">
    <w:name w:val="Subtitle"/>
    <w:basedOn w:val="Ttulo10"/>
    <w:next w:val="Corpodetexto"/>
    <w:link w:val="SubttuloChar"/>
    <w:qFormat/>
    <w:rsid w:val="00AF0AD9"/>
    <w:pPr>
      <w:jc w:val="center"/>
    </w:pPr>
    <w:rPr>
      <w:rFonts w:cs="Times New Roman"/>
      <w:i/>
      <w:iCs/>
    </w:rPr>
  </w:style>
  <w:style w:type="character" w:customStyle="1" w:styleId="SubttuloChar">
    <w:name w:val="Subtítulo Char"/>
    <w:basedOn w:val="Fontepargpadro"/>
    <w:link w:val="Subttulo"/>
    <w:rsid w:val="00AF0AD9"/>
    <w:rPr>
      <w:rFonts w:ascii="Arial" w:eastAsia="Arial Unicode MS" w:hAnsi="Arial" w:cs="Times New Roman"/>
      <w:i/>
      <w:iCs/>
      <w:sz w:val="28"/>
      <w:szCs w:val="28"/>
      <w:lang w:eastAsia="ar-SA"/>
    </w:rPr>
  </w:style>
  <w:style w:type="paragraph" w:customStyle="1" w:styleId="Recuodecorpodetexto31">
    <w:name w:val="Recuo de corpo de texto 31"/>
    <w:basedOn w:val="Normal"/>
    <w:uiPriority w:val="99"/>
    <w:rsid w:val="00AF0AD9"/>
    <w:pPr>
      <w:suppressAutoHyphens/>
      <w:spacing w:after="120" w:line="240" w:lineRule="auto"/>
      <w:ind w:left="283"/>
    </w:pPr>
    <w:rPr>
      <w:rFonts w:ascii="Calibri" w:eastAsia="Calibri" w:hAnsi="Calibri" w:cs="Times New Roman"/>
      <w:kern w:val="1"/>
      <w:sz w:val="16"/>
      <w:szCs w:val="16"/>
      <w:lang w:eastAsia="ar-SA"/>
    </w:rPr>
  </w:style>
  <w:style w:type="paragraph" w:customStyle="1" w:styleId="Ttulo-1sn">
    <w:name w:val="Título-1 s/nº"/>
    <w:basedOn w:val="Normal"/>
    <w:next w:val="Normal"/>
    <w:uiPriority w:val="99"/>
    <w:rsid w:val="00AF0AD9"/>
    <w:pPr>
      <w:keepNext/>
      <w:suppressAutoHyphens/>
      <w:spacing w:before="1500" w:after="500" w:line="360" w:lineRule="auto"/>
      <w:jc w:val="center"/>
    </w:pPr>
    <w:rPr>
      <w:rFonts w:ascii="Times New Roman" w:eastAsia="Times New Roman" w:hAnsi="Times New Roman" w:cs="Times New Roman"/>
      <w:b/>
      <w:caps/>
      <w:sz w:val="28"/>
      <w:szCs w:val="20"/>
      <w:lang w:eastAsia="ar-SA"/>
    </w:rPr>
  </w:style>
  <w:style w:type="paragraph" w:styleId="NormalWeb">
    <w:name w:val="Normal (Web)"/>
    <w:basedOn w:val="Normal"/>
    <w:uiPriority w:val="99"/>
    <w:rsid w:val="00AF0AD9"/>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p1">
    <w:name w:val="p1"/>
    <w:basedOn w:val="Normal"/>
    <w:uiPriority w:val="99"/>
    <w:rsid w:val="00AF0AD9"/>
    <w:pPr>
      <w:widowControl w:val="0"/>
      <w:tabs>
        <w:tab w:val="left" w:pos="720"/>
      </w:tabs>
      <w:suppressAutoHyphens/>
      <w:spacing w:before="60" w:after="0" w:line="280" w:lineRule="atLeast"/>
      <w:ind w:firstLine="1134"/>
      <w:jc w:val="both"/>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uiPriority w:val="99"/>
    <w:rsid w:val="00AF0AD9"/>
    <w:pPr>
      <w:suppressAutoHyphens/>
      <w:spacing w:before="60" w:after="0" w:line="240" w:lineRule="auto"/>
      <w:ind w:firstLine="1134"/>
      <w:jc w:val="both"/>
    </w:pPr>
    <w:rPr>
      <w:rFonts w:ascii="Courier New" w:eastAsia="Times New Roman" w:hAnsi="Courier New" w:cs="Times New Roman"/>
      <w:sz w:val="20"/>
      <w:szCs w:val="20"/>
      <w:lang w:eastAsia="ar-SA"/>
    </w:rPr>
  </w:style>
  <w:style w:type="paragraph" w:customStyle="1" w:styleId="Contedodetabela">
    <w:name w:val="Conteúdo de tabela"/>
    <w:basedOn w:val="Normal"/>
    <w:uiPriority w:val="99"/>
    <w:rsid w:val="00AF0AD9"/>
    <w:pPr>
      <w:suppressLineNumbers/>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customStyle="1" w:styleId="Ttulodetabela">
    <w:name w:val="Título de tabela"/>
    <w:basedOn w:val="Contedodetabela"/>
    <w:uiPriority w:val="99"/>
    <w:rsid w:val="00AF0AD9"/>
    <w:pPr>
      <w:jc w:val="center"/>
    </w:pPr>
    <w:rPr>
      <w:b/>
      <w:bCs/>
    </w:rPr>
  </w:style>
  <w:style w:type="character" w:customStyle="1" w:styleId="TextodebaloChar1">
    <w:name w:val="Texto de balão Char1"/>
    <w:basedOn w:val="Fontepargpadro"/>
    <w:uiPriority w:val="99"/>
    <w:semiHidden/>
    <w:rsid w:val="00AF0AD9"/>
    <w:rPr>
      <w:rFonts w:ascii="Segoe UI" w:hAnsi="Segoe UI" w:cs="Segoe UI"/>
      <w:sz w:val="18"/>
      <w:szCs w:val="18"/>
    </w:rPr>
  </w:style>
  <w:style w:type="paragraph" w:styleId="TextosemFormatao">
    <w:name w:val="Plain Text"/>
    <w:basedOn w:val="Normal"/>
    <w:link w:val="TextosemFormataoChar"/>
    <w:uiPriority w:val="99"/>
    <w:rsid w:val="00AF0AD9"/>
    <w:pPr>
      <w:spacing w:before="60" w:after="0" w:line="240" w:lineRule="auto"/>
      <w:ind w:firstLine="1134"/>
      <w:jc w:val="both"/>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AF0AD9"/>
    <w:rPr>
      <w:rFonts w:ascii="Courier New" w:eastAsia="Times New Roman" w:hAnsi="Courier New" w:cs="Times New Roman"/>
      <w:sz w:val="20"/>
      <w:szCs w:val="20"/>
      <w:lang w:eastAsia="pt-BR"/>
    </w:rPr>
  </w:style>
  <w:style w:type="paragraph" w:styleId="Recuodecorpodetexto3">
    <w:name w:val="Body Text Indent 3"/>
    <w:basedOn w:val="Normal"/>
    <w:link w:val="Recuodecorpodetexto3Char"/>
    <w:uiPriority w:val="99"/>
    <w:rsid w:val="00AF0AD9"/>
    <w:pPr>
      <w:suppressAutoHyphens/>
      <w:spacing w:after="120" w:line="240" w:lineRule="auto"/>
      <w:ind w:left="283" w:firstLine="709"/>
      <w:jc w:val="both"/>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rsid w:val="00AF0AD9"/>
    <w:rPr>
      <w:rFonts w:ascii="Times New Roman" w:eastAsia="Times New Roman" w:hAnsi="Times New Roman" w:cs="Times New Roman"/>
      <w:sz w:val="16"/>
      <w:szCs w:val="16"/>
      <w:lang w:eastAsia="ar-SA"/>
    </w:rPr>
  </w:style>
  <w:style w:type="paragraph" w:styleId="Textoembloco">
    <w:name w:val="Block Text"/>
    <w:basedOn w:val="Normal"/>
    <w:uiPriority w:val="99"/>
    <w:rsid w:val="00AF0AD9"/>
    <w:pPr>
      <w:spacing w:after="0" w:line="240" w:lineRule="auto"/>
      <w:ind w:left="3402" w:right="418"/>
      <w:jc w:val="both"/>
    </w:pPr>
    <w:rPr>
      <w:rFonts w:ascii="Times New Roman" w:eastAsia="Times New Roman" w:hAnsi="Times New Roman" w:cs="Times New Roman"/>
      <w:b/>
      <w:i/>
      <w:sz w:val="24"/>
      <w:szCs w:val="20"/>
      <w:lang w:eastAsia="pt-BR"/>
    </w:rPr>
  </w:style>
  <w:style w:type="paragraph" w:styleId="Corpodetexto3">
    <w:name w:val="Body Text 3"/>
    <w:basedOn w:val="Normal"/>
    <w:link w:val="Corpodetexto3Char"/>
    <w:uiPriority w:val="99"/>
    <w:rsid w:val="00AF0AD9"/>
    <w:pPr>
      <w:suppressAutoHyphens/>
      <w:spacing w:after="120" w:line="240" w:lineRule="auto"/>
      <w:ind w:firstLine="709"/>
      <w:jc w:val="both"/>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rsid w:val="00AF0AD9"/>
    <w:rPr>
      <w:rFonts w:ascii="Times New Roman" w:eastAsia="Times New Roman" w:hAnsi="Times New Roman" w:cs="Times New Roman"/>
      <w:sz w:val="16"/>
      <w:szCs w:val="16"/>
      <w:lang w:eastAsia="ar-SA"/>
    </w:rPr>
  </w:style>
  <w:style w:type="paragraph" w:styleId="Commarcadores">
    <w:name w:val="List Bullet"/>
    <w:basedOn w:val="Normal"/>
    <w:uiPriority w:val="99"/>
    <w:rsid w:val="00AF0AD9"/>
    <w:pPr>
      <w:tabs>
        <w:tab w:val="num" w:pos="360"/>
      </w:tabs>
      <w:suppressAutoHyphens/>
      <w:spacing w:after="120" w:line="240" w:lineRule="auto"/>
      <w:ind w:left="360" w:hanging="360"/>
      <w:jc w:val="both"/>
    </w:pPr>
    <w:rPr>
      <w:rFonts w:ascii="Times New Roman" w:eastAsia="Times New Roman" w:hAnsi="Times New Roman" w:cs="Times New Roman"/>
      <w:sz w:val="24"/>
      <w:szCs w:val="24"/>
      <w:lang w:eastAsia="ar-SA"/>
    </w:rPr>
  </w:style>
  <w:style w:type="character" w:customStyle="1" w:styleId="highlightbrs">
    <w:name w:val="highlightbrs"/>
    <w:basedOn w:val="Fontepargpadro"/>
    <w:rsid w:val="00AF0AD9"/>
  </w:style>
  <w:style w:type="paragraph" w:customStyle="1" w:styleId="Corpodetexto22">
    <w:name w:val="Corpo de texto 22"/>
    <w:basedOn w:val="Normal"/>
    <w:uiPriority w:val="99"/>
    <w:rsid w:val="00AF0AD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spacing w:after="0" w:line="240" w:lineRule="auto"/>
      <w:ind w:firstLine="1701"/>
      <w:jc w:val="both"/>
      <w:textAlignment w:val="baseline"/>
    </w:pPr>
    <w:rPr>
      <w:rFonts w:ascii="Arial" w:eastAsia="Times New Roman" w:hAnsi="Arial" w:cs="Times New Roman"/>
      <w:spacing w:val="-3"/>
      <w:sz w:val="24"/>
      <w:szCs w:val="20"/>
      <w:lang w:eastAsia="ar-SA"/>
    </w:rPr>
  </w:style>
  <w:style w:type="character" w:customStyle="1" w:styleId="st">
    <w:name w:val="st"/>
    <w:basedOn w:val="Fontepargpadro"/>
    <w:rsid w:val="00AF0AD9"/>
  </w:style>
  <w:style w:type="character" w:styleId="nfase">
    <w:name w:val="Emphasis"/>
    <w:uiPriority w:val="20"/>
    <w:qFormat/>
    <w:rsid w:val="00AF0AD9"/>
    <w:rPr>
      <w:i/>
      <w:iCs/>
    </w:rPr>
  </w:style>
  <w:style w:type="paragraph" w:styleId="PargrafodaLista">
    <w:name w:val="List Paragraph"/>
    <w:basedOn w:val="Normal"/>
    <w:uiPriority w:val="34"/>
    <w:qFormat/>
    <w:rsid w:val="00AF0AD9"/>
    <w:pPr>
      <w:ind w:left="720"/>
      <w:contextualSpacing/>
    </w:pPr>
    <w:rPr>
      <w:rFonts w:ascii="Calibri" w:eastAsia="Calibri" w:hAnsi="Calibri" w:cs="Times New Roman"/>
    </w:rPr>
  </w:style>
  <w:style w:type="paragraph" w:customStyle="1" w:styleId="Normal1">
    <w:name w:val="Normal1"/>
    <w:uiPriority w:val="99"/>
    <w:rsid w:val="00AF0AD9"/>
    <w:pPr>
      <w:spacing w:after="0" w:line="240" w:lineRule="auto"/>
      <w:jc w:val="both"/>
    </w:pPr>
    <w:rPr>
      <w:rFonts w:ascii="Calibri" w:eastAsia="Calibri" w:hAnsi="Calibri" w:cs="Calibri"/>
      <w:color w:val="000000"/>
      <w:lang w:eastAsia="pt-BR"/>
    </w:rPr>
  </w:style>
  <w:style w:type="paragraph" w:styleId="CabealhodoSumrio">
    <w:name w:val="TOC Heading"/>
    <w:basedOn w:val="Ttulo1"/>
    <w:next w:val="Normal"/>
    <w:uiPriority w:val="39"/>
    <w:unhideWhenUsed/>
    <w:qFormat/>
    <w:rsid w:val="00AF0AD9"/>
    <w:pPr>
      <w:keepLines/>
      <w:tabs>
        <w:tab w:val="clear" w:pos="0"/>
      </w:tabs>
      <w:suppressAutoHyphens w:val="0"/>
      <w:spacing w:before="240" w:after="0" w:line="259" w:lineRule="auto"/>
      <w:ind w:left="0" w:firstLine="0"/>
      <w:jc w:val="left"/>
      <w:outlineLvl w:val="9"/>
    </w:pPr>
    <w:rPr>
      <w:rFonts w:ascii="Calibri Light" w:hAnsi="Calibri Light"/>
      <w:bCs w:val="0"/>
      <w:color w:val="2E74B5"/>
      <w:sz w:val="32"/>
      <w:szCs w:val="32"/>
      <w:lang w:eastAsia="pt-BR"/>
    </w:rPr>
  </w:style>
  <w:style w:type="paragraph" w:styleId="Sumrio1">
    <w:name w:val="toc 1"/>
    <w:basedOn w:val="Normal"/>
    <w:next w:val="Normal"/>
    <w:autoRedefine/>
    <w:uiPriority w:val="39"/>
    <w:unhideWhenUsed/>
    <w:rsid w:val="00AF0AD9"/>
    <w:pPr>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styleId="Sumrio2">
    <w:name w:val="toc 2"/>
    <w:basedOn w:val="Normal"/>
    <w:next w:val="Normal"/>
    <w:autoRedefine/>
    <w:uiPriority w:val="39"/>
    <w:unhideWhenUsed/>
    <w:rsid w:val="00AF0AD9"/>
    <w:pPr>
      <w:spacing w:after="100" w:line="259" w:lineRule="auto"/>
      <w:ind w:left="220"/>
    </w:pPr>
    <w:rPr>
      <w:rFonts w:ascii="Calibri" w:eastAsia="Times New Roman" w:hAnsi="Calibri" w:cs="Times New Roman"/>
      <w:lang w:eastAsia="pt-BR"/>
    </w:rPr>
  </w:style>
  <w:style w:type="paragraph" w:styleId="Sumrio3">
    <w:name w:val="toc 3"/>
    <w:basedOn w:val="Normal"/>
    <w:next w:val="Normal"/>
    <w:autoRedefine/>
    <w:uiPriority w:val="39"/>
    <w:unhideWhenUsed/>
    <w:rsid w:val="00AF0AD9"/>
    <w:pPr>
      <w:spacing w:after="100" w:line="259" w:lineRule="auto"/>
      <w:ind w:left="440"/>
    </w:pPr>
    <w:rPr>
      <w:rFonts w:ascii="Calibri" w:eastAsia="Times New Roman" w:hAnsi="Calibri" w:cs="Times New Roman"/>
      <w:lang w:eastAsia="pt-BR"/>
    </w:rPr>
  </w:style>
  <w:style w:type="paragraph" w:styleId="Sumrio4">
    <w:name w:val="toc 4"/>
    <w:basedOn w:val="Normal"/>
    <w:next w:val="Normal"/>
    <w:autoRedefine/>
    <w:uiPriority w:val="39"/>
    <w:unhideWhenUsed/>
    <w:rsid w:val="00AF0AD9"/>
    <w:pPr>
      <w:spacing w:after="100" w:line="259" w:lineRule="auto"/>
      <w:ind w:left="660"/>
    </w:pPr>
    <w:rPr>
      <w:rFonts w:ascii="Calibri" w:eastAsia="Times New Roman" w:hAnsi="Calibri" w:cs="Times New Roman"/>
      <w:lang w:eastAsia="pt-BR"/>
    </w:rPr>
  </w:style>
  <w:style w:type="paragraph" w:styleId="Sumrio5">
    <w:name w:val="toc 5"/>
    <w:basedOn w:val="Normal"/>
    <w:next w:val="Normal"/>
    <w:autoRedefine/>
    <w:uiPriority w:val="39"/>
    <w:unhideWhenUsed/>
    <w:rsid w:val="00AF0AD9"/>
    <w:pPr>
      <w:spacing w:after="100" w:line="259" w:lineRule="auto"/>
      <w:ind w:left="880"/>
    </w:pPr>
    <w:rPr>
      <w:rFonts w:ascii="Calibri" w:eastAsia="Times New Roman" w:hAnsi="Calibri" w:cs="Times New Roman"/>
      <w:lang w:eastAsia="pt-BR"/>
    </w:rPr>
  </w:style>
  <w:style w:type="paragraph" w:styleId="Sumrio6">
    <w:name w:val="toc 6"/>
    <w:basedOn w:val="Normal"/>
    <w:next w:val="Normal"/>
    <w:autoRedefine/>
    <w:uiPriority w:val="39"/>
    <w:unhideWhenUsed/>
    <w:rsid w:val="00AF0AD9"/>
    <w:pPr>
      <w:spacing w:after="100" w:line="259" w:lineRule="auto"/>
      <w:ind w:left="1100"/>
    </w:pPr>
    <w:rPr>
      <w:rFonts w:ascii="Calibri" w:eastAsia="Times New Roman" w:hAnsi="Calibri" w:cs="Times New Roman"/>
      <w:lang w:eastAsia="pt-BR"/>
    </w:rPr>
  </w:style>
  <w:style w:type="paragraph" w:styleId="Sumrio7">
    <w:name w:val="toc 7"/>
    <w:basedOn w:val="Normal"/>
    <w:next w:val="Normal"/>
    <w:autoRedefine/>
    <w:uiPriority w:val="39"/>
    <w:unhideWhenUsed/>
    <w:rsid w:val="00AF0AD9"/>
    <w:pPr>
      <w:spacing w:after="100" w:line="259" w:lineRule="auto"/>
      <w:ind w:left="1320"/>
    </w:pPr>
    <w:rPr>
      <w:rFonts w:ascii="Calibri" w:eastAsia="Times New Roman" w:hAnsi="Calibri" w:cs="Times New Roman"/>
      <w:lang w:eastAsia="pt-BR"/>
    </w:rPr>
  </w:style>
  <w:style w:type="paragraph" w:styleId="Sumrio8">
    <w:name w:val="toc 8"/>
    <w:basedOn w:val="Normal"/>
    <w:next w:val="Normal"/>
    <w:autoRedefine/>
    <w:uiPriority w:val="39"/>
    <w:unhideWhenUsed/>
    <w:rsid w:val="00AF0AD9"/>
    <w:pPr>
      <w:spacing w:after="100" w:line="259" w:lineRule="auto"/>
      <w:ind w:left="1540"/>
    </w:pPr>
    <w:rPr>
      <w:rFonts w:ascii="Calibri" w:eastAsia="Times New Roman" w:hAnsi="Calibri" w:cs="Times New Roman"/>
      <w:lang w:eastAsia="pt-BR"/>
    </w:rPr>
  </w:style>
  <w:style w:type="paragraph" w:styleId="Sumrio9">
    <w:name w:val="toc 9"/>
    <w:basedOn w:val="Normal"/>
    <w:next w:val="Normal"/>
    <w:autoRedefine/>
    <w:uiPriority w:val="39"/>
    <w:unhideWhenUsed/>
    <w:rsid w:val="00AF0AD9"/>
    <w:pPr>
      <w:spacing w:after="100" w:line="259" w:lineRule="auto"/>
      <w:ind w:left="1760"/>
    </w:pPr>
    <w:rPr>
      <w:rFonts w:ascii="Calibri" w:eastAsia="Times New Roman" w:hAnsi="Calibri" w:cs="Times New Roman"/>
      <w:lang w:eastAsia="pt-BR"/>
    </w:rPr>
  </w:style>
  <w:style w:type="character" w:styleId="Refdecomentrio">
    <w:name w:val="annotation reference"/>
    <w:basedOn w:val="Fontepargpadro"/>
    <w:uiPriority w:val="99"/>
    <w:semiHidden/>
    <w:unhideWhenUsed/>
    <w:qFormat/>
    <w:rsid w:val="00AF0AD9"/>
    <w:rPr>
      <w:sz w:val="16"/>
      <w:szCs w:val="16"/>
    </w:rPr>
  </w:style>
  <w:style w:type="paragraph" w:styleId="Textodecomentrio">
    <w:name w:val="annotation text"/>
    <w:basedOn w:val="Normal"/>
    <w:link w:val="TextodecomentrioChar"/>
    <w:uiPriority w:val="99"/>
    <w:unhideWhenUsed/>
    <w:qFormat/>
    <w:rsid w:val="00AF0AD9"/>
    <w:pPr>
      <w:spacing w:after="160" w:line="240" w:lineRule="auto"/>
    </w:pPr>
    <w:rPr>
      <w:sz w:val="20"/>
      <w:szCs w:val="20"/>
    </w:rPr>
  </w:style>
  <w:style w:type="character" w:customStyle="1" w:styleId="TextodecomentrioChar">
    <w:name w:val="Texto de comentário Char"/>
    <w:basedOn w:val="Fontepargpadro"/>
    <w:link w:val="Textodecomentrio"/>
    <w:uiPriority w:val="99"/>
    <w:qFormat/>
    <w:rsid w:val="00AF0AD9"/>
    <w:rPr>
      <w:sz w:val="20"/>
      <w:szCs w:val="20"/>
    </w:rPr>
  </w:style>
  <w:style w:type="paragraph" w:styleId="Assuntodocomentrio">
    <w:name w:val="annotation subject"/>
    <w:basedOn w:val="Textodecomentrio"/>
    <w:next w:val="Textodecomentrio"/>
    <w:link w:val="AssuntodocomentrioChar"/>
    <w:uiPriority w:val="99"/>
    <w:semiHidden/>
    <w:unhideWhenUsed/>
    <w:rsid w:val="00AF0AD9"/>
    <w:rPr>
      <w:b/>
      <w:bCs/>
    </w:rPr>
  </w:style>
  <w:style w:type="character" w:customStyle="1" w:styleId="AssuntodocomentrioChar">
    <w:name w:val="Assunto do comentário Char"/>
    <w:basedOn w:val="TextodecomentrioChar"/>
    <w:link w:val="Assuntodocomentrio"/>
    <w:uiPriority w:val="99"/>
    <w:semiHidden/>
    <w:rsid w:val="00AF0AD9"/>
    <w:rPr>
      <w:b/>
      <w:bCs/>
      <w:sz w:val="20"/>
      <w:szCs w:val="20"/>
    </w:rPr>
  </w:style>
  <w:style w:type="numbering" w:customStyle="1" w:styleId="Semlista1">
    <w:name w:val="Sem lista1"/>
    <w:next w:val="Semlista"/>
    <w:uiPriority w:val="99"/>
    <w:semiHidden/>
    <w:unhideWhenUsed/>
    <w:rsid w:val="00AF0AD9"/>
  </w:style>
  <w:style w:type="character" w:styleId="HiperlinkVisitado">
    <w:name w:val="FollowedHyperlink"/>
    <w:uiPriority w:val="99"/>
    <w:semiHidden/>
    <w:unhideWhenUsed/>
    <w:rsid w:val="00AF0AD9"/>
    <w:rPr>
      <w:color w:val="800080"/>
      <w:u w:val="single"/>
    </w:rPr>
  </w:style>
  <w:style w:type="character" w:customStyle="1" w:styleId="apple-converted-space">
    <w:name w:val="apple-converted-space"/>
    <w:basedOn w:val="Fontepargpadro"/>
    <w:rsid w:val="00AF0AD9"/>
  </w:style>
  <w:style w:type="numbering" w:customStyle="1" w:styleId="Semlista2">
    <w:name w:val="Sem lista2"/>
    <w:next w:val="Semlista"/>
    <w:uiPriority w:val="99"/>
    <w:semiHidden/>
    <w:unhideWhenUsed/>
    <w:rsid w:val="00AF0AD9"/>
  </w:style>
  <w:style w:type="table" w:customStyle="1" w:styleId="TableGrid">
    <w:name w:val="TableGrid"/>
    <w:rsid w:val="00AF0A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orpodotexto">
    <w:name w:val="Corpo do texto"/>
    <w:basedOn w:val="Normal"/>
    <w:uiPriority w:val="99"/>
    <w:rsid w:val="00AF0AD9"/>
    <w:pPr>
      <w:suppressAutoHyphens/>
      <w:spacing w:after="120" w:line="240" w:lineRule="auto"/>
      <w:ind w:firstLine="709"/>
      <w:jc w:val="center"/>
    </w:pPr>
    <w:rPr>
      <w:rFonts w:ascii="Times New Roman" w:eastAsia="Times New Roman" w:hAnsi="Times New Roman" w:cs="Times New Roman"/>
      <w:b/>
      <w:color w:val="000000"/>
      <w:sz w:val="20"/>
      <w:szCs w:val="20"/>
      <w:lang w:eastAsia="ar-SA"/>
    </w:rPr>
  </w:style>
  <w:style w:type="paragraph" w:customStyle="1" w:styleId="Textbody">
    <w:name w:val="Text body"/>
    <w:basedOn w:val="Normal"/>
    <w:rsid w:val="00AF0AD9"/>
    <w:pPr>
      <w:suppressAutoHyphens/>
      <w:autoSpaceDN w:val="0"/>
      <w:spacing w:after="0" w:line="240" w:lineRule="auto"/>
      <w:jc w:val="both"/>
    </w:pPr>
    <w:rPr>
      <w:rFonts w:ascii="Times New Roman" w:eastAsia="Times New Roman" w:hAnsi="Times New Roman" w:cs="Times New Roman"/>
      <w:color w:val="000000"/>
      <w:kern w:val="3"/>
      <w:sz w:val="23"/>
      <w:szCs w:val="20"/>
      <w:lang w:eastAsia="zh-CN"/>
    </w:rPr>
  </w:style>
  <w:style w:type="paragraph" w:styleId="Reviso">
    <w:name w:val="Revision"/>
    <w:hidden/>
    <w:uiPriority w:val="99"/>
    <w:semiHidden/>
    <w:rsid w:val="00AF0AD9"/>
    <w:pPr>
      <w:spacing w:after="0" w:line="240" w:lineRule="auto"/>
    </w:pPr>
  </w:style>
  <w:style w:type="numbering" w:customStyle="1" w:styleId="Semlista3">
    <w:name w:val="Sem lista3"/>
    <w:next w:val="Semlista"/>
    <w:uiPriority w:val="99"/>
    <w:semiHidden/>
    <w:unhideWhenUsed/>
    <w:rsid w:val="00AF0AD9"/>
  </w:style>
  <w:style w:type="table" w:customStyle="1" w:styleId="TableNormal">
    <w:name w:val="Table Normal"/>
    <w:uiPriority w:val="2"/>
    <w:semiHidden/>
    <w:unhideWhenUsed/>
    <w:qFormat/>
    <w:rsid w:val="00AF0A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AD9"/>
    <w:pPr>
      <w:widowControl w:val="0"/>
      <w:autoSpaceDE w:val="0"/>
      <w:autoSpaceDN w:val="0"/>
      <w:spacing w:before="3" w:after="0" w:line="267" w:lineRule="exact"/>
    </w:pPr>
    <w:rPr>
      <w:rFonts w:ascii="Times New Roman" w:eastAsia="Times New Roman" w:hAnsi="Times New Roman" w:cs="Times New Roman"/>
      <w:lang w:eastAsia="pt-BR" w:bidi="pt-BR"/>
    </w:rPr>
  </w:style>
  <w:style w:type="paragraph" w:customStyle="1" w:styleId="Standard">
    <w:name w:val="Standard"/>
    <w:rsid w:val="00AF0AD9"/>
    <w:pPr>
      <w:widowControl w:val="0"/>
      <w:suppressAutoHyphens/>
      <w:autoSpaceDN w:val="0"/>
      <w:spacing w:after="0" w:line="240" w:lineRule="auto"/>
      <w:textAlignment w:val="baseline"/>
    </w:pPr>
    <w:rPr>
      <w:rFonts w:ascii="Arial" w:eastAsia="HG Mincho Light J" w:hAnsi="Arial" w:cs="Times New Roman"/>
      <w:color w:val="000000"/>
      <w:kern w:val="3"/>
      <w:sz w:val="24"/>
      <w:szCs w:val="20"/>
      <w:lang w:eastAsia="ar-SA" w:bidi="hi-IN"/>
    </w:rPr>
  </w:style>
  <w:style w:type="character" w:customStyle="1" w:styleId="MenoPendente1">
    <w:name w:val="Menção Pendente1"/>
    <w:basedOn w:val="Fontepargpadro"/>
    <w:uiPriority w:val="99"/>
    <w:semiHidden/>
    <w:unhideWhenUsed/>
    <w:rsid w:val="00AF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902321">
      <w:bodyDiv w:val="1"/>
      <w:marLeft w:val="0"/>
      <w:marRight w:val="0"/>
      <w:marTop w:val="0"/>
      <w:marBottom w:val="0"/>
      <w:divBdr>
        <w:top w:val="none" w:sz="0" w:space="0" w:color="auto"/>
        <w:left w:val="none" w:sz="0" w:space="0" w:color="auto"/>
        <w:bottom w:val="none" w:sz="0" w:space="0" w:color="auto"/>
        <w:right w:val="none" w:sz="0" w:space="0" w:color="auto"/>
      </w:divBdr>
      <w:divsChild>
        <w:div w:id="1324701906">
          <w:marLeft w:val="0"/>
          <w:marRight w:val="0"/>
          <w:marTop w:val="0"/>
          <w:marBottom w:val="0"/>
          <w:divBdr>
            <w:top w:val="none" w:sz="0" w:space="0" w:color="auto"/>
            <w:left w:val="none" w:sz="0" w:space="0" w:color="auto"/>
            <w:bottom w:val="none" w:sz="0" w:space="0" w:color="auto"/>
            <w:right w:val="none" w:sz="0" w:space="0" w:color="auto"/>
          </w:divBdr>
          <w:divsChild>
            <w:div w:id="123477596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15854672">
      <w:bodyDiv w:val="1"/>
      <w:marLeft w:val="0"/>
      <w:marRight w:val="0"/>
      <w:marTop w:val="0"/>
      <w:marBottom w:val="0"/>
      <w:divBdr>
        <w:top w:val="none" w:sz="0" w:space="0" w:color="auto"/>
        <w:left w:val="none" w:sz="0" w:space="0" w:color="auto"/>
        <w:bottom w:val="none" w:sz="0" w:space="0" w:color="auto"/>
        <w:right w:val="none" w:sz="0" w:space="0" w:color="auto"/>
      </w:divBdr>
    </w:div>
    <w:div w:id="952515318">
      <w:bodyDiv w:val="1"/>
      <w:marLeft w:val="0"/>
      <w:marRight w:val="0"/>
      <w:marTop w:val="0"/>
      <w:marBottom w:val="0"/>
      <w:divBdr>
        <w:top w:val="none" w:sz="0" w:space="0" w:color="auto"/>
        <w:left w:val="none" w:sz="0" w:space="0" w:color="auto"/>
        <w:bottom w:val="none" w:sz="0" w:space="0" w:color="auto"/>
        <w:right w:val="none" w:sz="0" w:space="0" w:color="auto"/>
      </w:divBdr>
      <w:divsChild>
        <w:div w:id="913705219">
          <w:marLeft w:val="0"/>
          <w:marRight w:val="0"/>
          <w:marTop w:val="0"/>
          <w:marBottom w:val="0"/>
          <w:divBdr>
            <w:top w:val="none" w:sz="0" w:space="0" w:color="auto"/>
            <w:left w:val="none" w:sz="0" w:space="0" w:color="auto"/>
            <w:bottom w:val="none" w:sz="0" w:space="0" w:color="auto"/>
            <w:right w:val="none" w:sz="0" w:space="0" w:color="auto"/>
          </w:divBdr>
          <w:divsChild>
            <w:div w:id="138379282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26105736">
      <w:bodyDiv w:val="1"/>
      <w:marLeft w:val="0"/>
      <w:marRight w:val="0"/>
      <w:marTop w:val="0"/>
      <w:marBottom w:val="0"/>
      <w:divBdr>
        <w:top w:val="none" w:sz="0" w:space="0" w:color="auto"/>
        <w:left w:val="none" w:sz="0" w:space="0" w:color="auto"/>
        <w:bottom w:val="none" w:sz="0" w:space="0" w:color="auto"/>
        <w:right w:val="none" w:sz="0" w:space="0" w:color="auto"/>
      </w:divBdr>
    </w:div>
    <w:div w:id="1193297945">
      <w:bodyDiv w:val="1"/>
      <w:marLeft w:val="0"/>
      <w:marRight w:val="0"/>
      <w:marTop w:val="0"/>
      <w:marBottom w:val="0"/>
      <w:divBdr>
        <w:top w:val="none" w:sz="0" w:space="0" w:color="auto"/>
        <w:left w:val="none" w:sz="0" w:space="0" w:color="auto"/>
        <w:bottom w:val="none" w:sz="0" w:space="0" w:color="auto"/>
        <w:right w:val="none" w:sz="0" w:space="0" w:color="auto"/>
      </w:divBdr>
      <w:divsChild>
        <w:div w:id="227302245">
          <w:marLeft w:val="0"/>
          <w:marRight w:val="0"/>
          <w:marTop w:val="0"/>
          <w:marBottom w:val="0"/>
          <w:divBdr>
            <w:top w:val="none" w:sz="0" w:space="0" w:color="auto"/>
            <w:left w:val="none" w:sz="0" w:space="0" w:color="auto"/>
            <w:bottom w:val="none" w:sz="0" w:space="0" w:color="auto"/>
            <w:right w:val="none" w:sz="0" w:space="0" w:color="auto"/>
          </w:divBdr>
          <w:divsChild>
            <w:div w:id="165210217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197620398">
      <w:bodyDiv w:val="1"/>
      <w:marLeft w:val="0"/>
      <w:marRight w:val="0"/>
      <w:marTop w:val="0"/>
      <w:marBottom w:val="0"/>
      <w:divBdr>
        <w:top w:val="none" w:sz="0" w:space="0" w:color="auto"/>
        <w:left w:val="none" w:sz="0" w:space="0" w:color="auto"/>
        <w:bottom w:val="none" w:sz="0" w:space="0" w:color="auto"/>
        <w:right w:val="none" w:sz="0" w:space="0" w:color="auto"/>
      </w:divBdr>
      <w:divsChild>
        <w:div w:id="1465659617">
          <w:marLeft w:val="0"/>
          <w:marRight w:val="0"/>
          <w:marTop w:val="0"/>
          <w:marBottom w:val="0"/>
          <w:divBdr>
            <w:top w:val="none" w:sz="0" w:space="0" w:color="auto"/>
            <w:left w:val="none" w:sz="0" w:space="0" w:color="auto"/>
            <w:bottom w:val="none" w:sz="0" w:space="0" w:color="auto"/>
            <w:right w:val="none" w:sz="0" w:space="0" w:color="auto"/>
          </w:divBdr>
          <w:divsChild>
            <w:div w:id="15675725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239557808">
      <w:bodyDiv w:val="1"/>
      <w:marLeft w:val="0"/>
      <w:marRight w:val="0"/>
      <w:marTop w:val="0"/>
      <w:marBottom w:val="0"/>
      <w:divBdr>
        <w:top w:val="none" w:sz="0" w:space="0" w:color="auto"/>
        <w:left w:val="none" w:sz="0" w:space="0" w:color="auto"/>
        <w:bottom w:val="none" w:sz="0" w:space="0" w:color="auto"/>
        <w:right w:val="none" w:sz="0" w:space="0" w:color="auto"/>
      </w:divBdr>
    </w:div>
    <w:div w:id="1261177860">
      <w:bodyDiv w:val="1"/>
      <w:marLeft w:val="0"/>
      <w:marRight w:val="0"/>
      <w:marTop w:val="0"/>
      <w:marBottom w:val="0"/>
      <w:divBdr>
        <w:top w:val="none" w:sz="0" w:space="0" w:color="auto"/>
        <w:left w:val="none" w:sz="0" w:space="0" w:color="auto"/>
        <w:bottom w:val="none" w:sz="0" w:space="0" w:color="auto"/>
        <w:right w:val="none" w:sz="0" w:space="0" w:color="auto"/>
      </w:divBdr>
    </w:div>
    <w:div w:id="1470980191">
      <w:bodyDiv w:val="1"/>
      <w:marLeft w:val="0"/>
      <w:marRight w:val="0"/>
      <w:marTop w:val="0"/>
      <w:marBottom w:val="0"/>
      <w:divBdr>
        <w:top w:val="none" w:sz="0" w:space="0" w:color="auto"/>
        <w:left w:val="none" w:sz="0" w:space="0" w:color="auto"/>
        <w:bottom w:val="none" w:sz="0" w:space="0" w:color="auto"/>
        <w:right w:val="none" w:sz="0" w:space="0" w:color="auto"/>
      </w:divBdr>
      <w:divsChild>
        <w:div w:id="946276908">
          <w:marLeft w:val="0"/>
          <w:marRight w:val="0"/>
          <w:marTop w:val="0"/>
          <w:marBottom w:val="0"/>
          <w:divBdr>
            <w:top w:val="none" w:sz="0" w:space="0" w:color="auto"/>
            <w:left w:val="none" w:sz="0" w:space="0" w:color="auto"/>
            <w:bottom w:val="none" w:sz="0" w:space="0" w:color="auto"/>
            <w:right w:val="none" w:sz="0" w:space="0" w:color="auto"/>
          </w:divBdr>
          <w:divsChild>
            <w:div w:id="5942845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27794355">
      <w:bodyDiv w:val="1"/>
      <w:marLeft w:val="0"/>
      <w:marRight w:val="0"/>
      <w:marTop w:val="0"/>
      <w:marBottom w:val="0"/>
      <w:divBdr>
        <w:top w:val="none" w:sz="0" w:space="0" w:color="auto"/>
        <w:left w:val="none" w:sz="0" w:space="0" w:color="auto"/>
        <w:bottom w:val="none" w:sz="0" w:space="0" w:color="auto"/>
        <w:right w:val="none" w:sz="0" w:space="0" w:color="auto"/>
      </w:divBdr>
    </w:div>
    <w:div w:id="1539777706">
      <w:bodyDiv w:val="1"/>
      <w:marLeft w:val="0"/>
      <w:marRight w:val="0"/>
      <w:marTop w:val="0"/>
      <w:marBottom w:val="0"/>
      <w:divBdr>
        <w:top w:val="none" w:sz="0" w:space="0" w:color="auto"/>
        <w:left w:val="none" w:sz="0" w:space="0" w:color="auto"/>
        <w:bottom w:val="none" w:sz="0" w:space="0" w:color="auto"/>
        <w:right w:val="none" w:sz="0" w:space="0" w:color="auto"/>
      </w:divBdr>
      <w:divsChild>
        <w:div w:id="1839803150">
          <w:marLeft w:val="0"/>
          <w:marRight w:val="0"/>
          <w:marTop w:val="0"/>
          <w:marBottom w:val="0"/>
          <w:divBdr>
            <w:top w:val="none" w:sz="0" w:space="0" w:color="auto"/>
            <w:left w:val="none" w:sz="0" w:space="0" w:color="auto"/>
            <w:bottom w:val="none" w:sz="0" w:space="0" w:color="auto"/>
            <w:right w:val="none" w:sz="0" w:space="0" w:color="auto"/>
          </w:divBdr>
          <w:divsChild>
            <w:div w:id="14439134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67836951">
      <w:bodyDiv w:val="1"/>
      <w:marLeft w:val="0"/>
      <w:marRight w:val="0"/>
      <w:marTop w:val="0"/>
      <w:marBottom w:val="0"/>
      <w:divBdr>
        <w:top w:val="none" w:sz="0" w:space="0" w:color="auto"/>
        <w:left w:val="none" w:sz="0" w:space="0" w:color="auto"/>
        <w:bottom w:val="none" w:sz="0" w:space="0" w:color="auto"/>
        <w:right w:val="none" w:sz="0" w:space="0" w:color="auto"/>
      </w:divBdr>
      <w:divsChild>
        <w:div w:id="1121024781">
          <w:marLeft w:val="0"/>
          <w:marRight w:val="0"/>
          <w:marTop w:val="0"/>
          <w:marBottom w:val="0"/>
          <w:divBdr>
            <w:top w:val="none" w:sz="0" w:space="0" w:color="auto"/>
            <w:left w:val="none" w:sz="0" w:space="0" w:color="auto"/>
            <w:bottom w:val="none" w:sz="0" w:space="0" w:color="auto"/>
            <w:right w:val="none" w:sz="0" w:space="0" w:color="auto"/>
          </w:divBdr>
          <w:divsChild>
            <w:div w:id="25475403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699624945">
      <w:bodyDiv w:val="1"/>
      <w:marLeft w:val="0"/>
      <w:marRight w:val="0"/>
      <w:marTop w:val="0"/>
      <w:marBottom w:val="0"/>
      <w:divBdr>
        <w:top w:val="none" w:sz="0" w:space="0" w:color="auto"/>
        <w:left w:val="none" w:sz="0" w:space="0" w:color="auto"/>
        <w:bottom w:val="none" w:sz="0" w:space="0" w:color="auto"/>
        <w:right w:val="none" w:sz="0" w:space="0" w:color="auto"/>
      </w:divBdr>
      <w:divsChild>
        <w:div w:id="179706237">
          <w:marLeft w:val="0"/>
          <w:marRight w:val="0"/>
          <w:marTop w:val="0"/>
          <w:marBottom w:val="0"/>
          <w:divBdr>
            <w:top w:val="none" w:sz="0" w:space="0" w:color="auto"/>
            <w:left w:val="none" w:sz="0" w:space="0" w:color="auto"/>
            <w:bottom w:val="none" w:sz="0" w:space="0" w:color="auto"/>
            <w:right w:val="none" w:sz="0" w:space="0" w:color="auto"/>
          </w:divBdr>
          <w:divsChild>
            <w:div w:id="78284246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811483049">
      <w:bodyDiv w:val="1"/>
      <w:marLeft w:val="0"/>
      <w:marRight w:val="0"/>
      <w:marTop w:val="0"/>
      <w:marBottom w:val="0"/>
      <w:divBdr>
        <w:top w:val="none" w:sz="0" w:space="0" w:color="auto"/>
        <w:left w:val="none" w:sz="0" w:space="0" w:color="auto"/>
        <w:bottom w:val="none" w:sz="0" w:space="0" w:color="auto"/>
        <w:right w:val="none" w:sz="0" w:space="0" w:color="auto"/>
      </w:divBdr>
      <w:divsChild>
        <w:div w:id="1323050113">
          <w:marLeft w:val="0"/>
          <w:marRight w:val="0"/>
          <w:marTop w:val="0"/>
          <w:marBottom w:val="0"/>
          <w:divBdr>
            <w:top w:val="none" w:sz="0" w:space="0" w:color="auto"/>
            <w:left w:val="none" w:sz="0" w:space="0" w:color="auto"/>
            <w:bottom w:val="none" w:sz="0" w:space="0" w:color="auto"/>
            <w:right w:val="none" w:sz="0" w:space="0" w:color="auto"/>
          </w:divBdr>
          <w:divsChild>
            <w:div w:id="161228119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45377722">
      <w:bodyDiv w:val="1"/>
      <w:marLeft w:val="0"/>
      <w:marRight w:val="0"/>
      <w:marTop w:val="0"/>
      <w:marBottom w:val="0"/>
      <w:divBdr>
        <w:top w:val="none" w:sz="0" w:space="0" w:color="auto"/>
        <w:left w:val="none" w:sz="0" w:space="0" w:color="auto"/>
        <w:bottom w:val="none" w:sz="0" w:space="0" w:color="auto"/>
        <w:right w:val="none" w:sz="0" w:space="0" w:color="auto"/>
      </w:divBdr>
      <w:divsChild>
        <w:div w:id="1748307111">
          <w:marLeft w:val="0"/>
          <w:marRight w:val="0"/>
          <w:marTop w:val="0"/>
          <w:marBottom w:val="0"/>
          <w:divBdr>
            <w:top w:val="none" w:sz="0" w:space="0" w:color="auto"/>
            <w:left w:val="none" w:sz="0" w:space="0" w:color="auto"/>
            <w:bottom w:val="none" w:sz="0" w:space="0" w:color="auto"/>
            <w:right w:val="none" w:sz="0" w:space="0" w:color="auto"/>
          </w:divBdr>
          <w:divsChild>
            <w:div w:id="74903816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CP/Lcp157.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351DF-5CB3-499D-9710-A62D4040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5542</Words>
  <Characters>29929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2</cp:revision>
  <cp:lastPrinted>2019-04-15T14:06:00Z</cp:lastPrinted>
  <dcterms:created xsi:type="dcterms:W3CDTF">2019-04-16T12:35:00Z</dcterms:created>
  <dcterms:modified xsi:type="dcterms:W3CDTF">2019-04-16T12:35:00Z</dcterms:modified>
</cp:coreProperties>
</file>